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6DE" w:rsidRDefault="002F5CBA" w:rsidP="002C0368">
      <w:pPr>
        <w:spacing w:line="240" w:lineRule="auto"/>
        <w:jc w:val="center"/>
        <w:rPr>
          <w:rFonts w:ascii="Comic Sans MS" w:hAnsi="Comic Sans MS" w:cs="Times New Roman"/>
          <w:b/>
          <w:color w:val="0000FF"/>
          <w:sz w:val="24"/>
        </w:rPr>
      </w:pPr>
      <w:r>
        <w:rPr>
          <w:rFonts w:ascii="Comic Sans MS" w:hAnsi="Comic Sans MS" w:cs="Times New Roman"/>
          <w:b/>
          <w:noProof/>
          <w:color w:val="0000FF"/>
          <w:sz w:val="24"/>
          <w:lang w:eastAsia="fr-FR"/>
        </w:rPr>
        <w:pict>
          <v:rect id="_x0000_s1033" alt="" style="position:absolute;left:0;text-align:left;margin-left:3.95pt;margin-top:61.2pt;width:445.6pt;height:98.65pt;z-index:251665408;mso-wrap-edited:f" filled="f" strokecolor="#00b0f0" strokeweight="1.5pt">
            <v:textbox>
              <w:txbxContent>
                <w:p w:rsidR="00D56B95" w:rsidRPr="00145E02" w:rsidRDefault="00D56B95" w:rsidP="00D56B95">
                  <w:pPr>
                    <w:spacing w:before="240" w:after="240"/>
                    <w:jc w:val="center"/>
                    <w:rPr>
                      <w:rFonts w:ascii="Times New Roman" w:hAnsi="Times New Roman"/>
                      <w:b/>
                      <w:color w:val="00B0F0"/>
                      <w:sz w:val="24"/>
                    </w:rPr>
                  </w:pPr>
                  <w:r w:rsidRPr="00145E02">
                    <w:rPr>
                      <w:rFonts w:ascii="Times New Roman" w:hAnsi="Times New Roman"/>
                      <w:b/>
                      <w:color w:val="00B0F0"/>
                      <w:sz w:val="24"/>
                    </w:rPr>
                    <w:t xml:space="preserve">Aspects </w:t>
                  </w:r>
                  <w:proofErr w:type="spellStart"/>
                  <w:r w:rsidRPr="00145E02">
                    <w:rPr>
                      <w:rFonts w:ascii="Times New Roman" w:hAnsi="Times New Roman"/>
                      <w:b/>
                      <w:color w:val="00B0F0"/>
                      <w:sz w:val="24"/>
                    </w:rPr>
                    <w:t>épidémio</w:t>
                  </w:r>
                  <w:proofErr w:type="spellEnd"/>
                  <w:r w:rsidRPr="00145E02">
                    <w:rPr>
                      <w:rFonts w:ascii="Times New Roman" w:hAnsi="Times New Roman"/>
                      <w:b/>
                      <w:color w:val="00B0F0"/>
                      <w:sz w:val="24"/>
                    </w:rPr>
                    <w:t>-cliniques, anatomo-pathologiques et thérapeutiques des adénomes pléomorphes des glandes salivaires</w:t>
                  </w:r>
                </w:p>
                <w:p w:rsidR="00D56B95" w:rsidRPr="00145E02" w:rsidRDefault="00D56B95" w:rsidP="00D56B95">
                  <w:pPr>
                    <w:spacing w:before="240" w:after="240"/>
                    <w:jc w:val="center"/>
                    <w:rPr>
                      <w:rFonts w:ascii="Times New Roman" w:hAnsi="Times New Roman"/>
                      <w:b/>
                      <w:i/>
                      <w:color w:val="00B0F0"/>
                      <w:sz w:val="24"/>
                      <w:szCs w:val="24"/>
                      <w:lang w:val="en-US"/>
                    </w:rPr>
                  </w:pPr>
                  <w:r w:rsidRPr="00145E02">
                    <w:rPr>
                      <w:rStyle w:val="lev"/>
                      <w:rFonts w:ascii="Times New Roman" w:hAnsi="Times New Roman"/>
                      <w:b w:val="0"/>
                      <w:i/>
                      <w:color w:val="00B0F0"/>
                      <w:sz w:val="24"/>
                      <w:szCs w:val="24"/>
                      <w:shd w:val="clear" w:color="auto" w:fill="FFFFFF"/>
                      <w:lang w:val="en-US"/>
                    </w:rPr>
                    <w:t xml:space="preserve">Epidemiological, clinical, histopathological, and therapeutic aspects of salivary gland </w:t>
                  </w:r>
                  <w:r w:rsidRPr="00145E02">
                    <w:rPr>
                      <w:rFonts w:ascii="Times New Roman" w:hAnsi="Times New Roman"/>
                      <w:i/>
                      <w:color w:val="00B0F0"/>
                      <w:sz w:val="24"/>
                      <w:szCs w:val="24"/>
                      <w:lang w:val="en-US"/>
                    </w:rPr>
                    <w:t>pleomorphic adenoma</w:t>
                  </w:r>
                </w:p>
                <w:p w:rsidR="00D56B95" w:rsidRPr="00D56B95" w:rsidRDefault="00D56B95" w:rsidP="00D56B95">
                  <w:pPr>
                    <w:jc w:val="center"/>
                    <w:rPr>
                      <w:lang w:val="en-US"/>
                    </w:rPr>
                  </w:pPr>
                </w:p>
              </w:txbxContent>
            </v:textbox>
          </v:rect>
        </w:pict>
      </w:r>
      <w:r w:rsidR="005176DE" w:rsidRPr="005176DE">
        <w:rPr>
          <w:rFonts w:ascii="Comic Sans MS" w:hAnsi="Comic Sans MS" w:cs="Times New Roman"/>
          <w:b/>
          <w:noProof/>
          <w:color w:val="0000FF"/>
          <w:sz w:val="24"/>
          <w:lang w:eastAsia="fr-FR"/>
        </w:rPr>
        <w:drawing>
          <wp:inline distT="0" distB="0" distL="0" distR="0">
            <wp:extent cx="5759450" cy="688264"/>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688264"/>
                    </a:xfrm>
                    <a:prstGeom prst="rect">
                      <a:avLst/>
                    </a:prstGeom>
                    <a:noFill/>
                    <a:ln>
                      <a:noFill/>
                    </a:ln>
                  </pic:spPr>
                </pic:pic>
              </a:graphicData>
            </a:graphic>
          </wp:inline>
        </w:drawing>
      </w:r>
    </w:p>
    <w:p w:rsidR="005176DE" w:rsidRPr="00434AD1" w:rsidRDefault="005176DE" w:rsidP="002C0368">
      <w:pPr>
        <w:spacing w:line="240" w:lineRule="auto"/>
        <w:jc w:val="center"/>
        <w:rPr>
          <w:rFonts w:ascii="Times New Roman" w:hAnsi="Times New Roman" w:cs="Times New Roman"/>
          <w:b/>
          <w:color w:val="0000FF"/>
          <w:sz w:val="24"/>
        </w:rPr>
      </w:pPr>
    </w:p>
    <w:p w:rsidR="005176DE" w:rsidRPr="00D56B95" w:rsidRDefault="005176DE" w:rsidP="002C0368">
      <w:pPr>
        <w:spacing w:line="240" w:lineRule="auto"/>
        <w:jc w:val="both"/>
        <w:rPr>
          <w:rFonts w:ascii="Times New Roman" w:hAnsi="Times New Roman" w:cs="Times New Roman"/>
          <w:color w:val="0000FF"/>
          <w:sz w:val="24"/>
        </w:rPr>
      </w:pPr>
    </w:p>
    <w:p w:rsidR="00D56B95" w:rsidRDefault="00D56B95" w:rsidP="002C0368">
      <w:pPr>
        <w:spacing w:line="240" w:lineRule="auto"/>
        <w:jc w:val="center"/>
        <w:rPr>
          <w:rFonts w:ascii="Times New Roman" w:hAnsi="Times New Roman" w:cs="Times New Roman"/>
          <w:b/>
          <w:color w:val="0000FF"/>
          <w:sz w:val="24"/>
        </w:rPr>
      </w:pPr>
    </w:p>
    <w:p w:rsidR="00D56B95" w:rsidRDefault="00D56B95" w:rsidP="002C0368">
      <w:pPr>
        <w:spacing w:line="240" w:lineRule="auto"/>
        <w:jc w:val="center"/>
        <w:rPr>
          <w:rFonts w:ascii="Times New Roman" w:hAnsi="Times New Roman" w:cs="Times New Roman"/>
          <w:b/>
          <w:color w:val="0000FF"/>
          <w:sz w:val="24"/>
        </w:rPr>
      </w:pPr>
    </w:p>
    <w:p w:rsidR="00D56B95" w:rsidRDefault="00D56B95" w:rsidP="002C0368">
      <w:pPr>
        <w:spacing w:line="240" w:lineRule="auto"/>
        <w:jc w:val="center"/>
        <w:rPr>
          <w:rFonts w:ascii="Times New Roman" w:hAnsi="Times New Roman" w:cs="Times New Roman"/>
          <w:b/>
          <w:color w:val="0000FF"/>
          <w:sz w:val="24"/>
        </w:rPr>
      </w:pPr>
    </w:p>
    <w:p w:rsidR="00DA63BB" w:rsidRPr="00160A89" w:rsidRDefault="00DA63BB" w:rsidP="00160A89">
      <w:pPr>
        <w:pStyle w:val="Titre"/>
        <w:spacing w:before="0" w:after="0"/>
        <w:ind w:left="-284" w:firstLine="0"/>
        <w:rPr>
          <w:b w:val="0"/>
          <w:color w:val="0070C0"/>
          <w:vertAlign w:val="superscript"/>
        </w:rPr>
      </w:pPr>
      <w:proofErr w:type="spellStart"/>
      <w:r w:rsidRPr="00F912FB">
        <w:rPr>
          <w:b w:val="0"/>
          <w:color w:val="0070C0"/>
        </w:rPr>
        <w:t>Ranaivoson</w:t>
      </w:r>
      <w:proofErr w:type="spellEnd"/>
      <w:r w:rsidRPr="00F912FB">
        <w:rPr>
          <w:b w:val="0"/>
          <w:color w:val="0070C0"/>
        </w:rPr>
        <w:t xml:space="preserve"> HVR</w:t>
      </w:r>
      <w:r w:rsidRPr="00F912FB">
        <w:rPr>
          <w:b w:val="0"/>
          <w:color w:val="0070C0"/>
          <w:shd w:val="clear" w:color="auto" w:fill="FFFFFF"/>
        </w:rPr>
        <w:t xml:space="preserve">, </w:t>
      </w:r>
      <w:proofErr w:type="spellStart"/>
      <w:r>
        <w:rPr>
          <w:b w:val="0"/>
          <w:color w:val="0070C0"/>
        </w:rPr>
        <w:t>Andrianjafitrimo</w:t>
      </w:r>
      <w:proofErr w:type="spellEnd"/>
      <w:r>
        <w:rPr>
          <w:b w:val="0"/>
          <w:color w:val="0070C0"/>
        </w:rPr>
        <w:t xml:space="preserve"> HT, </w:t>
      </w:r>
      <w:proofErr w:type="spellStart"/>
      <w:r w:rsidR="00ED7F4C" w:rsidRPr="00F912FB">
        <w:rPr>
          <w:b w:val="0"/>
          <w:color w:val="0070C0"/>
        </w:rPr>
        <w:t>Andriamanantena</w:t>
      </w:r>
      <w:proofErr w:type="spellEnd"/>
      <w:r w:rsidR="00ED7F4C" w:rsidRPr="00F912FB">
        <w:rPr>
          <w:b w:val="0"/>
          <w:color w:val="0070C0"/>
        </w:rPr>
        <w:t xml:space="preserve"> </w:t>
      </w:r>
      <w:proofErr w:type="gramStart"/>
      <w:r w:rsidR="00ED7F4C" w:rsidRPr="00F912FB">
        <w:rPr>
          <w:b w:val="0"/>
          <w:color w:val="0070C0"/>
        </w:rPr>
        <w:t>RH</w:t>
      </w:r>
      <w:r w:rsidR="00ED7F4C">
        <w:rPr>
          <w:b w:val="0"/>
          <w:color w:val="0070C0"/>
          <w:vertAlign w:val="superscript"/>
        </w:rPr>
        <w:t> </w:t>
      </w:r>
      <w:r w:rsidR="00ED7F4C">
        <w:rPr>
          <w:b w:val="0"/>
          <w:color w:val="0070C0"/>
        </w:rPr>
        <w:t>,</w:t>
      </w:r>
      <w:proofErr w:type="gramEnd"/>
      <w:r w:rsidR="00ED7F4C">
        <w:rPr>
          <w:b w:val="0"/>
          <w:color w:val="0070C0"/>
        </w:rPr>
        <w:t xml:space="preserve"> </w:t>
      </w:r>
      <w:bookmarkStart w:id="0" w:name="_GoBack"/>
      <w:bookmarkEnd w:id="0"/>
      <w:proofErr w:type="spellStart"/>
      <w:r w:rsidRPr="00F912FB">
        <w:rPr>
          <w:b w:val="0"/>
          <w:color w:val="0070C0"/>
        </w:rPr>
        <w:t>Randriamarohasina</w:t>
      </w:r>
      <w:proofErr w:type="spellEnd"/>
      <w:r w:rsidRPr="00F912FB">
        <w:rPr>
          <w:b w:val="0"/>
          <w:color w:val="0070C0"/>
        </w:rPr>
        <w:t xml:space="preserve"> MH, </w:t>
      </w:r>
      <w:proofErr w:type="spellStart"/>
      <w:r w:rsidRPr="00F912FB">
        <w:rPr>
          <w:b w:val="0"/>
          <w:color w:val="0070C0"/>
        </w:rPr>
        <w:t>Randriamanantena</w:t>
      </w:r>
      <w:proofErr w:type="spellEnd"/>
      <w:r w:rsidRPr="00F912FB">
        <w:rPr>
          <w:b w:val="0"/>
          <w:color w:val="0070C0"/>
        </w:rPr>
        <w:t xml:space="preserve"> T</w:t>
      </w:r>
    </w:p>
    <w:p w:rsidR="00DA63BB" w:rsidRDefault="00DA63BB" w:rsidP="002C0368">
      <w:pPr>
        <w:spacing w:line="240" w:lineRule="auto"/>
        <w:ind w:left="426"/>
        <w:jc w:val="both"/>
        <w:rPr>
          <w:rFonts w:ascii="Times New Roman" w:hAnsi="Times New Roman" w:cs="Times New Roman"/>
          <w:b/>
          <w:color w:val="00B0F0"/>
          <w:sz w:val="24"/>
        </w:rPr>
      </w:pPr>
    </w:p>
    <w:p w:rsidR="00145E02" w:rsidRPr="00145E02" w:rsidRDefault="00145E02" w:rsidP="00160A89">
      <w:pPr>
        <w:spacing w:line="240" w:lineRule="auto"/>
        <w:ind w:left="142"/>
        <w:jc w:val="both"/>
        <w:rPr>
          <w:rFonts w:ascii="Times New Roman" w:hAnsi="Times New Roman" w:cs="Times New Roman"/>
          <w:color w:val="00B0F0"/>
          <w:sz w:val="24"/>
        </w:rPr>
      </w:pPr>
      <w:r w:rsidRPr="00145E02">
        <w:rPr>
          <w:rFonts w:ascii="Times New Roman" w:hAnsi="Times New Roman" w:cs="Times New Roman"/>
          <w:color w:val="00B0F0"/>
          <w:sz w:val="24"/>
        </w:rPr>
        <w:t>Service de Chirurgie Maxillo-faciale, CHU JDR, Antananarivo, Madagascar</w:t>
      </w:r>
    </w:p>
    <w:p w:rsidR="00145E02" w:rsidRPr="00145E02" w:rsidRDefault="00145E02" w:rsidP="00160A89">
      <w:pPr>
        <w:spacing w:line="240" w:lineRule="auto"/>
        <w:ind w:left="142"/>
        <w:jc w:val="both"/>
        <w:rPr>
          <w:rFonts w:ascii="Times New Roman" w:hAnsi="Times New Roman" w:cs="Times New Roman"/>
          <w:color w:val="00B0F0"/>
          <w:sz w:val="24"/>
        </w:rPr>
      </w:pPr>
      <w:r w:rsidRPr="00145E02">
        <w:rPr>
          <w:rFonts w:ascii="Times New Roman" w:hAnsi="Times New Roman" w:cs="Times New Roman"/>
          <w:color w:val="00B0F0"/>
          <w:sz w:val="24"/>
        </w:rPr>
        <w:t>UPFR Anatomie et Cytologie Pathologiques, CHU-JRA, Antananarivo, Madagascar</w:t>
      </w:r>
    </w:p>
    <w:p w:rsidR="00145E02" w:rsidRPr="00145E02" w:rsidRDefault="00145E02" w:rsidP="00160A89">
      <w:pPr>
        <w:spacing w:line="240" w:lineRule="auto"/>
        <w:ind w:left="142"/>
        <w:jc w:val="both"/>
        <w:rPr>
          <w:rFonts w:ascii="Times New Roman" w:hAnsi="Times New Roman" w:cs="Times New Roman"/>
          <w:color w:val="00B0F0"/>
          <w:sz w:val="24"/>
        </w:rPr>
      </w:pPr>
      <w:r w:rsidRPr="00145E02">
        <w:rPr>
          <w:rFonts w:ascii="Times New Roman" w:hAnsi="Times New Roman" w:cs="Times New Roman"/>
          <w:color w:val="00B0F0"/>
          <w:sz w:val="24"/>
        </w:rPr>
        <w:t xml:space="preserve">Service de chirurgie maxillo-faciale, CHU </w:t>
      </w:r>
      <w:proofErr w:type="spellStart"/>
      <w:r w:rsidRPr="00145E02">
        <w:rPr>
          <w:rFonts w:ascii="Times New Roman" w:hAnsi="Times New Roman" w:cs="Times New Roman"/>
          <w:color w:val="00B0F0"/>
          <w:sz w:val="24"/>
        </w:rPr>
        <w:t>Andrainjato</w:t>
      </w:r>
      <w:proofErr w:type="spellEnd"/>
      <w:r w:rsidRPr="00145E02">
        <w:rPr>
          <w:rFonts w:ascii="Times New Roman" w:hAnsi="Times New Roman" w:cs="Times New Roman"/>
          <w:color w:val="00B0F0"/>
          <w:sz w:val="24"/>
        </w:rPr>
        <w:t xml:space="preserve"> Fianarantsoa</w:t>
      </w:r>
    </w:p>
    <w:p w:rsidR="00316FD4" w:rsidRPr="00145E02" w:rsidRDefault="00145E02" w:rsidP="00160A89">
      <w:pPr>
        <w:spacing w:line="240" w:lineRule="auto"/>
        <w:ind w:left="142"/>
        <w:jc w:val="both"/>
        <w:rPr>
          <w:rFonts w:ascii="Times New Roman" w:hAnsi="Times New Roman" w:cs="Times New Roman"/>
          <w:color w:val="00B0F0"/>
          <w:sz w:val="24"/>
        </w:rPr>
      </w:pPr>
      <w:r w:rsidRPr="00145E02">
        <w:rPr>
          <w:rFonts w:ascii="Times New Roman" w:hAnsi="Times New Roman" w:cs="Times New Roman"/>
          <w:color w:val="00B0F0"/>
          <w:sz w:val="24"/>
        </w:rPr>
        <w:t xml:space="preserve">Auteur correspondant : ANDRIAMANANTENA </w:t>
      </w:r>
      <w:proofErr w:type="spellStart"/>
      <w:r w:rsidRPr="00145E02">
        <w:rPr>
          <w:rFonts w:ascii="Times New Roman" w:hAnsi="Times New Roman" w:cs="Times New Roman"/>
          <w:color w:val="00B0F0"/>
          <w:sz w:val="24"/>
        </w:rPr>
        <w:t>Rantonirina</w:t>
      </w:r>
      <w:proofErr w:type="spellEnd"/>
      <w:r w:rsidRPr="00145E02">
        <w:rPr>
          <w:rFonts w:ascii="Times New Roman" w:hAnsi="Times New Roman" w:cs="Times New Roman"/>
          <w:color w:val="00B0F0"/>
          <w:sz w:val="24"/>
        </w:rPr>
        <w:t xml:space="preserve"> Henri, rantonirinastomax@gmail.com, 0346495885</w:t>
      </w:r>
    </w:p>
    <w:p w:rsidR="00145E02" w:rsidRPr="00D56B95" w:rsidRDefault="00145E02" w:rsidP="002C0368">
      <w:pPr>
        <w:spacing w:line="240" w:lineRule="auto"/>
        <w:jc w:val="both"/>
        <w:rPr>
          <w:rFonts w:ascii="Times New Roman" w:hAnsi="Times New Roman" w:cs="Times New Roman"/>
          <w:sz w:val="24"/>
        </w:rPr>
      </w:pPr>
    </w:p>
    <w:p w:rsidR="00685DE2" w:rsidRPr="00304AA1" w:rsidRDefault="002F5CBA" w:rsidP="002C0368">
      <w:pPr>
        <w:spacing w:line="240" w:lineRule="auto"/>
        <w:jc w:val="both"/>
        <w:rPr>
          <w:rFonts w:ascii="Times New Roman" w:hAnsi="Times New Roman" w:cs="Times New Roman"/>
          <w:b/>
          <w:color w:val="00B0F0"/>
          <w:sz w:val="24"/>
        </w:rPr>
      </w:pPr>
      <w:r>
        <w:rPr>
          <w:rFonts w:ascii="Times New Roman" w:hAnsi="Times New Roman" w:cs="Times New Roman"/>
          <w:b/>
          <w:noProof/>
          <w:color w:val="00B0F0"/>
          <w:sz w:val="24"/>
        </w:rPr>
        <w:pict>
          <v:shapetype id="_x0000_t32" coordsize="21600,21600" o:spt="32" o:oned="t" path="m,l21600,21600e" filled="f">
            <v:path arrowok="t" fillok="f" o:connecttype="none"/>
            <o:lock v:ext="edit" shapetype="t"/>
          </v:shapetype>
          <v:shape id="_x0000_s1035" type="#_x0000_t32" alt="" style="position:absolute;left:0;text-align:left;margin-left:69.55pt;margin-top:8.4pt;width:387pt;height:0;z-index:251666432;mso-wrap-edited:f" o:connectortype="straight" strokecolor="#00b0f0" strokeweight="1.5pt"/>
        </w:pict>
      </w:r>
      <w:r w:rsidR="00685DE2" w:rsidRPr="00304AA1">
        <w:rPr>
          <w:rFonts w:ascii="Times New Roman" w:hAnsi="Times New Roman" w:cs="Times New Roman"/>
          <w:b/>
          <w:color w:val="00B0F0"/>
          <w:sz w:val="24"/>
        </w:rPr>
        <w:t xml:space="preserve">Introduction </w:t>
      </w:r>
    </w:p>
    <w:p w:rsidR="00D56B95" w:rsidRPr="005960BD" w:rsidRDefault="00D56B95" w:rsidP="002C0368">
      <w:pPr>
        <w:spacing w:line="240" w:lineRule="auto"/>
        <w:jc w:val="both"/>
        <w:rPr>
          <w:rFonts w:ascii="Times New Roman" w:hAnsi="Times New Roman"/>
          <w:color w:val="000000"/>
          <w:sz w:val="24"/>
          <w:szCs w:val="24"/>
        </w:rPr>
      </w:pPr>
      <w:r w:rsidRPr="005960BD">
        <w:rPr>
          <w:rFonts w:ascii="Times New Roman" w:hAnsi="Times New Roman"/>
          <w:color w:val="000000"/>
          <w:sz w:val="24"/>
          <w:szCs w:val="24"/>
        </w:rPr>
        <w:t xml:space="preserve">L’adénome pléomorphe est la tumeur bénigne la plus fréquente des glandes salivaires </w:t>
      </w:r>
      <w:r w:rsidRPr="00D56B95">
        <w:rPr>
          <w:rFonts w:ascii="Times New Roman" w:hAnsi="Times New Roman"/>
          <w:sz w:val="24"/>
          <w:szCs w:val="24"/>
        </w:rPr>
        <w:t>(1, 2).</w:t>
      </w:r>
      <w:r w:rsidRPr="005960BD">
        <w:rPr>
          <w:rFonts w:ascii="Times New Roman" w:hAnsi="Times New Roman"/>
          <w:color w:val="000000"/>
          <w:sz w:val="24"/>
          <w:szCs w:val="24"/>
        </w:rPr>
        <w:t xml:space="preserve"> Son nom dérive de son pléomorphisme architectural vu à la microscopie. L’adénome pléomorphe pourrait de transformer en un carcinome ex-adénome pléomorphe dans certaines situations (3). Le meilleur traitement est l’exérèse chirurgicale complète de la tumeur avec une marge de tissus sains adjacents. Des cas de récidive peuvent survenir dans 28% des cas malgré un traitement bien conduit (4). Devant ces contextes, </w:t>
      </w:r>
      <w:proofErr w:type="spellStart"/>
      <w:r w:rsidRPr="005960BD">
        <w:rPr>
          <w:rFonts w:ascii="Times New Roman" w:hAnsi="Times New Roman"/>
          <w:color w:val="000000"/>
          <w:sz w:val="24"/>
          <w:szCs w:val="24"/>
        </w:rPr>
        <w:t>deuxquestions</w:t>
      </w:r>
      <w:proofErr w:type="spellEnd"/>
      <w:r w:rsidRPr="005960BD">
        <w:rPr>
          <w:rFonts w:ascii="Times New Roman" w:hAnsi="Times New Roman"/>
          <w:color w:val="000000"/>
          <w:sz w:val="24"/>
          <w:szCs w:val="24"/>
        </w:rPr>
        <w:t xml:space="preserve"> se posent : comment orienter cliniquement nos dia</w:t>
      </w:r>
      <w:r w:rsidRPr="00D56B95">
        <w:rPr>
          <w:rFonts w:ascii="Times New Roman" w:hAnsi="Times New Roman"/>
          <w:sz w:val="24"/>
          <w:szCs w:val="24"/>
        </w:rPr>
        <w:t xml:space="preserve">gnostics </w:t>
      </w:r>
      <w:r w:rsidRPr="005960BD">
        <w:rPr>
          <w:rFonts w:ascii="Times New Roman" w:hAnsi="Times New Roman"/>
          <w:color w:val="000000"/>
          <w:sz w:val="24"/>
          <w:szCs w:val="24"/>
        </w:rPr>
        <w:t xml:space="preserve">vers un carcinome ex-adénome pléomorphe ? Sur quels paramètres </w:t>
      </w:r>
      <w:r w:rsidRPr="00D56B95">
        <w:rPr>
          <w:rFonts w:ascii="Times New Roman" w:hAnsi="Times New Roman"/>
          <w:sz w:val="24"/>
          <w:szCs w:val="24"/>
        </w:rPr>
        <w:t>devront-nous axer</w:t>
      </w:r>
      <w:r w:rsidRPr="005960BD">
        <w:rPr>
          <w:rFonts w:ascii="Times New Roman" w:hAnsi="Times New Roman"/>
          <w:color w:val="000000"/>
          <w:sz w:val="24"/>
          <w:szCs w:val="24"/>
        </w:rPr>
        <w:t xml:space="preserve"> notre recherche sur les facteurs de récidive de ces adénomes pléomorphes ? Nos hypothèses sur la recherche des facteurs de récidives de ces adénomes pléomorphes sont axées sur la clinique, l’imagerie, la chirurgie et les aspects anatomopathologiques de </w:t>
      </w:r>
      <w:r>
        <w:rPr>
          <w:rFonts w:ascii="Times New Roman" w:hAnsi="Times New Roman"/>
          <w:color w:val="00B0F0"/>
          <w:sz w:val="24"/>
          <w:szCs w:val="24"/>
        </w:rPr>
        <w:t>c</w:t>
      </w:r>
      <w:r w:rsidRPr="005960BD">
        <w:rPr>
          <w:rFonts w:ascii="Times New Roman" w:hAnsi="Times New Roman"/>
          <w:color w:val="000000"/>
          <w:sz w:val="24"/>
          <w:szCs w:val="24"/>
        </w:rPr>
        <w:t>es tumeurs. Les objectifs de cette étude étaient de déterminer les signes cliniques en faveur d’un carcinome ex-adénome pléomorphe, et de rechercher les corrélations entre les récidives des adénomes pléomorphes, leurs localisations anatomiques, leurs aspects anatomo-pathologiques et leurs prises en charges chirurgicales.</w:t>
      </w:r>
    </w:p>
    <w:p w:rsidR="00D56B95" w:rsidRPr="00304AA1" w:rsidRDefault="002F5CBA" w:rsidP="002C0368">
      <w:pPr>
        <w:spacing w:line="240" w:lineRule="auto"/>
        <w:rPr>
          <w:rFonts w:ascii="Times New Roman" w:hAnsi="Times New Roman" w:cs="Times New Roman"/>
          <w:b/>
          <w:color w:val="00B0F0"/>
          <w:sz w:val="24"/>
        </w:rPr>
        <w:sectPr w:rsidR="00D56B95" w:rsidRPr="00304AA1" w:rsidSect="00AD09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450"/>
          <w:cols w:space="708"/>
          <w:docGrid w:linePitch="360"/>
        </w:sectPr>
      </w:pPr>
      <w:r>
        <w:rPr>
          <w:rFonts w:ascii="Times New Roman" w:hAnsi="Times New Roman" w:cs="Times New Roman"/>
          <w:b/>
          <w:noProof/>
          <w:color w:val="00B0F0"/>
          <w:sz w:val="24"/>
        </w:rPr>
        <w:pict>
          <v:shape id="_x0000_s1037" type="#_x0000_t32" alt="" style="position:absolute;margin-left:110.95pt;margin-top:8.35pt;width:338.15pt;height:0;z-index:251667456;mso-wrap-edited:f" o:connectortype="straight" strokecolor="#00b0f0" strokeweight="1.5pt"/>
        </w:pict>
      </w:r>
      <w:r w:rsidR="000F09F0" w:rsidRPr="00304AA1">
        <w:rPr>
          <w:rFonts w:ascii="Times New Roman" w:hAnsi="Times New Roman" w:cs="Times New Roman"/>
          <w:b/>
          <w:color w:val="00B0F0"/>
          <w:sz w:val="24"/>
        </w:rPr>
        <w:t>Patients et méthode</w:t>
      </w:r>
    </w:p>
    <w:p w:rsidR="000F09F0" w:rsidRDefault="00D56B95" w:rsidP="002C0368">
      <w:pPr>
        <w:spacing w:line="240" w:lineRule="auto"/>
        <w:jc w:val="both"/>
        <w:rPr>
          <w:rFonts w:ascii="Times New Roman" w:hAnsi="Times New Roman"/>
          <w:sz w:val="24"/>
          <w:szCs w:val="24"/>
        </w:rPr>
        <w:sectPr w:rsidR="000F09F0" w:rsidSect="000F09F0">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417" w:bottom="1417" w:left="1417" w:header="708" w:footer="708" w:gutter="0"/>
          <w:pgNumType w:start="450"/>
          <w:cols w:num="2" w:space="708"/>
          <w:docGrid w:linePitch="360"/>
        </w:sectPr>
      </w:pPr>
      <w:r w:rsidRPr="000F09F0">
        <w:rPr>
          <w:rFonts w:ascii="Times New Roman" w:hAnsi="Times New Roman"/>
          <w:sz w:val="24"/>
          <w:szCs w:val="24"/>
        </w:rPr>
        <w:lastRenderedPageBreak/>
        <w:t xml:space="preserve">Notre étude a été réalisée dans le service de Chirurgie Maxillo-Faciale du CHU JDR de </w:t>
      </w:r>
      <w:proofErr w:type="spellStart"/>
      <w:r w:rsidRPr="000F09F0">
        <w:rPr>
          <w:rFonts w:ascii="Times New Roman" w:hAnsi="Times New Roman"/>
          <w:sz w:val="24"/>
          <w:szCs w:val="24"/>
        </w:rPr>
        <w:t>Befelatanana</w:t>
      </w:r>
      <w:proofErr w:type="spellEnd"/>
      <w:r w:rsidRPr="000F09F0">
        <w:rPr>
          <w:rFonts w:ascii="Times New Roman" w:hAnsi="Times New Roman"/>
          <w:sz w:val="24"/>
          <w:szCs w:val="24"/>
        </w:rPr>
        <w:t xml:space="preserve"> Antananarivo. Il s’agit d’une étude rétrospective descriptive </w:t>
      </w:r>
      <w:proofErr w:type="spellStart"/>
      <w:r w:rsidRPr="000F09F0">
        <w:rPr>
          <w:rFonts w:ascii="Times New Roman" w:hAnsi="Times New Roman"/>
          <w:sz w:val="24"/>
          <w:szCs w:val="24"/>
        </w:rPr>
        <w:lastRenderedPageBreak/>
        <w:t>monocentrique</w:t>
      </w:r>
      <w:proofErr w:type="spellEnd"/>
      <w:r w:rsidRPr="000F09F0">
        <w:rPr>
          <w:rFonts w:ascii="Times New Roman" w:hAnsi="Times New Roman"/>
          <w:sz w:val="24"/>
          <w:szCs w:val="24"/>
        </w:rPr>
        <w:t xml:space="preserve">, intéressant tous les patients présentant un adénome pléomorphe sur preuve anatomo-pathologique. L’étude s’étalait sur une période de 15 années, </w:t>
      </w:r>
      <w:r w:rsidRPr="000F09F0">
        <w:rPr>
          <w:rFonts w:ascii="Times New Roman" w:hAnsi="Times New Roman"/>
          <w:sz w:val="24"/>
          <w:szCs w:val="24"/>
        </w:rPr>
        <w:lastRenderedPageBreak/>
        <w:t xml:space="preserve">allant de janvier 2009 à décembre 2023. Les données ont été collectées à partir des registres de consultation, des résultats anatomo-pathologiques et du compte rendu opératoire. Les paramètres étudiés étaient les données démographiques, cliniques, chirurgicales, anatomopathologiques et évolutives. Les logiciels statistiques </w:t>
      </w:r>
      <w:r w:rsidRPr="000F09F0">
        <w:rPr>
          <w:rFonts w:ascii="Times New Roman" w:hAnsi="Times New Roman"/>
          <w:sz w:val="24"/>
          <w:szCs w:val="24"/>
        </w:rPr>
        <w:lastRenderedPageBreak/>
        <w:t xml:space="preserve">utilisés ont été le </w:t>
      </w:r>
      <w:r w:rsidRPr="000F09F0">
        <w:rPr>
          <w:rFonts w:ascii="Times New Roman" w:hAnsi="Times New Roman"/>
          <w:i/>
          <w:iCs/>
          <w:sz w:val="24"/>
          <w:szCs w:val="24"/>
        </w:rPr>
        <w:t>Microsoft Word</w:t>
      </w:r>
      <w:r w:rsidRPr="000F09F0">
        <w:rPr>
          <w:rFonts w:ascii="Times New Roman" w:hAnsi="Times New Roman"/>
          <w:sz w:val="24"/>
          <w:szCs w:val="24"/>
        </w:rPr>
        <w:t xml:space="preserve"> 2013, </w:t>
      </w:r>
      <w:r w:rsidRPr="000F09F0">
        <w:rPr>
          <w:rFonts w:ascii="Times New Roman" w:hAnsi="Times New Roman"/>
          <w:i/>
          <w:iCs/>
          <w:sz w:val="24"/>
          <w:szCs w:val="24"/>
        </w:rPr>
        <w:t>Microsoft Excel</w:t>
      </w:r>
      <w:r w:rsidRPr="000F09F0">
        <w:rPr>
          <w:rFonts w:ascii="Times New Roman" w:hAnsi="Times New Roman"/>
          <w:sz w:val="24"/>
          <w:szCs w:val="24"/>
        </w:rPr>
        <w:t xml:space="preserve"> 2013 et </w:t>
      </w:r>
      <w:r w:rsidRPr="000F09F0">
        <w:rPr>
          <w:rFonts w:ascii="Times New Roman" w:hAnsi="Times New Roman"/>
          <w:i/>
          <w:iCs/>
          <w:sz w:val="24"/>
          <w:szCs w:val="24"/>
        </w:rPr>
        <w:t>Epi info</w:t>
      </w:r>
      <w:r w:rsidRPr="000F09F0">
        <w:rPr>
          <w:rFonts w:ascii="Times New Roman" w:hAnsi="Times New Roman"/>
          <w:sz w:val="24"/>
          <w:szCs w:val="24"/>
        </w:rPr>
        <w:t xml:space="preserve"> 7.2.2.6. La collecte des données a été faite par </w:t>
      </w:r>
      <w:r w:rsidRPr="000F09F0">
        <w:rPr>
          <w:rFonts w:ascii="Times New Roman" w:hAnsi="Times New Roman"/>
          <w:i/>
          <w:iCs/>
          <w:sz w:val="24"/>
          <w:szCs w:val="24"/>
        </w:rPr>
        <w:t>Word</w:t>
      </w:r>
      <w:r w:rsidRPr="000F09F0">
        <w:rPr>
          <w:rFonts w:ascii="Times New Roman" w:hAnsi="Times New Roman"/>
          <w:sz w:val="24"/>
          <w:szCs w:val="24"/>
        </w:rPr>
        <w:t xml:space="preserve"> et </w:t>
      </w:r>
      <w:r w:rsidRPr="000F09F0">
        <w:rPr>
          <w:rFonts w:ascii="Times New Roman" w:hAnsi="Times New Roman"/>
          <w:i/>
          <w:iCs/>
          <w:sz w:val="24"/>
          <w:szCs w:val="24"/>
        </w:rPr>
        <w:t>Excel</w:t>
      </w:r>
      <w:r w:rsidRPr="000F09F0">
        <w:rPr>
          <w:rFonts w:ascii="Times New Roman" w:hAnsi="Times New Roman"/>
          <w:sz w:val="24"/>
          <w:szCs w:val="24"/>
        </w:rPr>
        <w:t xml:space="preserve"> 2013 et le traitement des données par </w:t>
      </w:r>
      <w:r w:rsidRPr="000F09F0">
        <w:rPr>
          <w:rFonts w:ascii="Times New Roman" w:hAnsi="Times New Roman"/>
          <w:i/>
          <w:iCs/>
          <w:sz w:val="24"/>
          <w:szCs w:val="24"/>
        </w:rPr>
        <w:t>Epi info</w:t>
      </w:r>
      <w:r w:rsidRPr="000F09F0">
        <w:rPr>
          <w:rFonts w:ascii="Times New Roman" w:hAnsi="Times New Roman"/>
          <w:sz w:val="24"/>
          <w:szCs w:val="24"/>
        </w:rPr>
        <w:t xml:space="preserve"> 7.2.2.6. Une valeur de p&lt;0,05 signifiait qu’il existait une corrélation statistiquement significative.</w:t>
      </w:r>
    </w:p>
    <w:p w:rsidR="000F09F0" w:rsidRPr="000F09F0" w:rsidRDefault="000F09F0" w:rsidP="002C0368">
      <w:pPr>
        <w:spacing w:line="240" w:lineRule="auto"/>
        <w:jc w:val="both"/>
        <w:rPr>
          <w:rFonts w:ascii="Times New Roman" w:hAnsi="Times New Roman"/>
          <w:sz w:val="24"/>
          <w:szCs w:val="24"/>
        </w:rPr>
      </w:pPr>
    </w:p>
    <w:p w:rsidR="000F09F0" w:rsidRPr="00304AA1" w:rsidRDefault="002F5CBA" w:rsidP="002C0368">
      <w:pPr>
        <w:spacing w:line="240" w:lineRule="auto"/>
        <w:rPr>
          <w:rFonts w:ascii="Times New Roman" w:hAnsi="Times New Roman" w:cs="Times New Roman"/>
          <w:b/>
          <w:color w:val="00B0F0"/>
          <w:sz w:val="24"/>
        </w:rPr>
        <w:sectPr w:rsidR="000F09F0" w:rsidRPr="00304AA1" w:rsidSect="00705717">
          <w:type w:val="continuous"/>
          <w:pgSz w:w="11906" w:h="16838"/>
          <w:pgMar w:top="1418" w:right="1418" w:bottom="1418" w:left="1418" w:header="709" w:footer="709" w:gutter="0"/>
          <w:pgNumType w:start="450"/>
          <w:cols w:space="708"/>
          <w:docGrid w:linePitch="360"/>
        </w:sectPr>
      </w:pPr>
      <w:r>
        <w:rPr>
          <w:rFonts w:ascii="Times New Roman" w:hAnsi="Times New Roman" w:cs="Times New Roman"/>
          <w:b/>
          <w:noProof/>
          <w:color w:val="00B0F0"/>
          <w:sz w:val="24"/>
        </w:rPr>
        <w:pict>
          <v:shape id="_x0000_s1042" type="#_x0000_t32" alt="" style="position:absolute;margin-left:110.95pt;margin-top:8.35pt;width:338.15pt;height:0;z-index:251672576;mso-wrap-edited:f" o:connectortype="straight" strokecolor="#00b0f0" strokeweight="1.5pt"/>
        </w:pict>
      </w:r>
      <w:r w:rsidR="000F09F0" w:rsidRPr="00304AA1">
        <w:rPr>
          <w:rFonts w:ascii="Times New Roman" w:hAnsi="Times New Roman" w:cs="Times New Roman"/>
          <w:b/>
          <w:color w:val="00B0F0"/>
          <w:sz w:val="24"/>
        </w:rPr>
        <w:t>Résultats</w:t>
      </w:r>
    </w:p>
    <w:p w:rsidR="00D56B95" w:rsidRPr="000F09F0" w:rsidRDefault="00D56B95" w:rsidP="002C0368">
      <w:pPr>
        <w:pStyle w:val="Paragraphedeliste"/>
        <w:spacing w:line="240" w:lineRule="auto"/>
        <w:ind w:left="0"/>
        <w:jc w:val="both"/>
        <w:rPr>
          <w:rFonts w:ascii="Times New Roman" w:hAnsi="Times New Roman"/>
          <w:sz w:val="24"/>
          <w:szCs w:val="24"/>
        </w:rPr>
      </w:pPr>
      <w:r w:rsidRPr="000F09F0">
        <w:rPr>
          <w:rFonts w:ascii="Times New Roman" w:hAnsi="Times New Roman"/>
          <w:sz w:val="24"/>
          <w:szCs w:val="24"/>
        </w:rPr>
        <w:lastRenderedPageBreak/>
        <w:t xml:space="preserve">Durant la période d’étude, 50 cas d’adénome pléomorphe ont été enregistrés, dont 4 cas de carcinome sur adénome pléomorphe. La majorité de nos patients était des femmes (n=35 soit 70% des cas), avec un sex-ratio de 0,43. La tranche d’âge la plus représentée a été celle comprise entre 40 et 59 ans (n=20 soit 40,0% des cas) suivie de celle de 20 ans à 39 ans (n=16 soit 32,0% des cas), avec une moyenne d’âge de 41 ans et des extrêmes de 13 et 79 ans. L’âge médian était 43 ans (figure 1). Le délai moyen de consultation était de 51,48 mois, avec une durée minimale de 12 mois et une durée maximale de 120 mois. </w:t>
      </w:r>
      <w:r w:rsidR="000F09F0" w:rsidRPr="000F09F0">
        <w:rPr>
          <w:rFonts w:ascii="Times New Roman" w:hAnsi="Times New Roman"/>
          <w:sz w:val="24"/>
          <w:szCs w:val="24"/>
        </w:rPr>
        <w:t>Douze pourcents</w:t>
      </w:r>
      <w:r w:rsidRPr="000F09F0">
        <w:rPr>
          <w:rFonts w:ascii="Times New Roman" w:hAnsi="Times New Roman"/>
          <w:sz w:val="24"/>
          <w:szCs w:val="24"/>
        </w:rPr>
        <w:t xml:space="preserve"> de ses patients ont été alcooliques (n=6) ; 10% (n=5) à la fois alcooliques et tabagiques et 4% tabagiques (figure 2). Les lésions étaient localisées au niveau de la région parotidienne dans 50% des cas (n=25), suivie du palais dans 24% des cas (n=12), sous-mandibulaire dans 24% des cas (n=12) et jugale dans 2% des cas (n=1). Lors de l’examen clinique, 14% des patients (n=7) avaient une tuméfaction sensible lors de la </w:t>
      </w:r>
      <w:proofErr w:type="spellStart"/>
      <w:proofErr w:type="gramStart"/>
      <w:r w:rsidRPr="000F09F0">
        <w:rPr>
          <w:rFonts w:ascii="Times New Roman" w:hAnsi="Times New Roman"/>
          <w:sz w:val="24"/>
          <w:szCs w:val="24"/>
        </w:rPr>
        <w:t>palpation.Les</w:t>
      </w:r>
      <w:proofErr w:type="spellEnd"/>
      <w:proofErr w:type="gramEnd"/>
      <w:r w:rsidRPr="000F09F0">
        <w:rPr>
          <w:rFonts w:ascii="Times New Roman" w:hAnsi="Times New Roman"/>
          <w:sz w:val="24"/>
          <w:szCs w:val="24"/>
        </w:rPr>
        <w:t xml:space="preserve"> tuméfactions étaient fermes dans 58% des cas (n=29), et dure dans 42% des cas (n=21). Ces tuméfactions étaient mobiles par rapport au plan profond dans 52% des cas (n=26) et 4 fixes dans 8% des cas (n=24</w:t>
      </w:r>
      <w:proofErr w:type="gramStart"/>
      <w:r w:rsidRPr="000F09F0">
        <w:rPr>
          <w:rFonts w:ascii="Times New Roman" w:hAnsi="Times New Roman"/>
          <w:sz w:val="24"/>
          <w:szCs w:val="24"/>
        </w:rPr>
        <w:t>).Nous</w:t>
      </w:r>
      <w:proofErr w:type="gramEnd"/>
      <w:r w:rsidRPr="000F09F0">
        <w:rPr>
          <w:rFonts w:ascii="Times New Roman" w:hAnsi="Times New Roman"/>
          <w:sz w:val="24"/>
          <w:szCs w:val="24"/>
        </w:rPr>
        <w:t xml:space="preserve"> avons constaté qu’un patient présentait une muqueuse nécrosée et un autre avait une muqueuse </w:t>
      </w:r>
      <w:proofErr w:type="spellStart"/>
      <w:r w:rsidRPr="000F09F0">
        <w:rPr>
          <w:rFonts w:ascii="Times New Roman" w:hAnsi="Times New Roman"/>
          <w:sz w:val="24"/>
          <w:szCs w:val="24"/>
        </w:rPr>
        <w:t>ulcéro-bourgeonnante.Aucun</w:t>
      </w:r>
      <w:proofErr w:type="spellEnd"/>
      <w:r w:rsidRPr="000F09F0">
        <w:rPr>
          <w:rFonts w:ascii="Times New Roman" w:hAnsi="Times New Roman"/>
          <w:sz w:val="24"/>
          <w:szCs w:val="24"/>
        </w:rPr>
        <w:t xml:space="preserve"> cas de paralysie faciale n’a été observé. Cinq patients avaient des adénopathies satellites soit </w:t>
      </w:r>
      <w:r w:rsidRPr="000F09F0">
        <w:rPr>
          <w:rFonts w:ascii="Times New Roman" w:hAnsi="Times New Roman"/>
          <w:sz w:val="24"/>
          <w:szCs w:val="24"/>
        </w:rPr>
        <w:lastRenderedPageBreak/>
        <w:t xml:space="preserve">10% des cas, dont 3 cas d’adénome pléomorphe et 2 cas de carcinome sur adénome pléomorphe. Trois patients présentaient une image de lyse osseuse en regard de la tuméfaction soit 6% des cas. Les signes </w:t>
      </w:r>
      <w:proofErr w:type="spellStart"/>
      <w:r w:rsidRPr="000F09F0">
        <w:rPr>
          <w:rFonts w:ascii="Times New Roman" w:hAnsi="Times New Roman"/>
          <w:sz w:val="24"/>
          <w:szCs w:val="24"/>
        </w:rPr>
        <w:t>clinico</w:t>
      </w:r>
      <w:proofErr w:type="spellEnd"/>
      <w:r w:rsidRPr="000F09F0">
        <w:rPr>
          <w:rFonts w:ascii="Times New Roman" w:hAnsi="Times New Roman"/>
          <w:sz w:val="24"/>
          <w:szCs w:val="24"/>
        </w:rPr>
        <w:t>-radiologiques ayant des corrélations statistiquement significatives avec le carcinome sur adénome pléomorphe ont été la tuméfaction douloureuse à la palpation (p=0,0066), la présence d’adénopathie satellite (p=0,044), et la présence de lyse osseuse en regard de la tuméfaction (p=0.0002) (tableau I).</w:t>
      </w:r>
    </w:p>
    <w:p w:rsidR="00D56B95" w:rsidRPr="000F09F0" w:rsidRDefault="00D56B95" w:rsidP="002C0368">
      <w:pPr>
        <w:pStyle w:val="Paragraphedeliste"/>
        <w:spacing w:line="240" w:lineRule="auto"/>
        <w:ind w:left="0"/>
        <w:jc w:val="both"/>
        <w:rPr>
          <w:rFonts w:ascii="Times New Roman" w:hAnsi="Times New Roman"/>
          <w:sz w:val="24"/>
          <w:szCs w:val="24"/>
        </w:rPr>
      </w:pPr>
      <w:r w:rsidRPr="000F09F0">
        <w:rPr>
          <w:rFonts w:ascii="Times New Roman" w:hAnsi="Times New Roman"/>
          <w:sz w:val="24"/>
          <w:szCs w:val="24"/>
        </w:rPr>
        <w:t xml:space="preserve">Pour la prise en charge chirurgicale, 7 patients ont eu une biopsie tumorale avant l’exérèse soit 14% des cas, dont 6 cas (12%) d’adénome pléomorphe et 1 cas (2%) de carcinome sur adénome pléomorphe. 45 patients ont eu une exérèse tumorale soit 90% des cas, dont 8 </w:t>
      </w:r>
      <w:proofErr w:type="spellStart"/>
      <w:r w:rsidRPr="000F09F0">
        <w:rPr>
          <w:rFonts w:ascii="Times New Roman" w:hAnsi="Times New Roman"/>
          <w:sz w:val="24"/>
          <w:szCs w:val="24"/>
        </w:rPr>
        <w:t>maxillectomies</w:t>
      </w:r>
      <w:proofErr w:type="spellEnd"/>
      <w:r w:rsidRPr="000F09F0">
        <w:rPr>
          <w:rFonts w:ascii="Times New Roman" w:hAnsi="Times New Roman"/>
          <w:sz w:val="24"/>
          <w:szCs w:val="24"/>
        </w:rPr>
        <w:t xml:space="preserve"> (16% des cas), 25 </w:t>
      </w:r>
      <w:proofErr w:type="spellStart"/>
      <w:r w:rsidRPr="000F09F0">
        <w:rPr>
          <w:rFonts w:ascii="Times New Roman" w:hAnsi="Times New Roman"/>
          <w:sz w:val="24"/>
          <w:szCs w:val="24"/>
        </w:rPr>
        <w:t>parotidectomies</w:t>
      </w:r>
      <w:proofErr w:type="spellEnd"/>
      <w:r w:rsidRPr="000F09F0">
        <w:rPr>
          <w:rFonts w:ascii="Times New Roman" w:hAnsi="Times New Roman"/>
          <w:sz w:val="24"/>
          <w:szCs w:val="24"/>
        </w:rPr>
        <w:t xml:space="preserve"> (50% des cas) avec 15 </w:t>
      </w:r>
      <w:proofErr w:type="spellStart"/>
      <w:r w:rsidRPr="000F09F0">
        <w:rPr>
          <w:rFonts w:ascii="Times New Roman" w:hAnsi="Times New Roman"/>
          <w:sz w:val="24"/>
          <w:szCs w:val="24"/>
        </w:rPr>
        <w:t>parotidectomiesexofaciales</w:t>
      </w:r>
      <w:proofErr w:type="spellEnd"/>
      <w:r w:rsidRPr="000F09F0">
        <w:rPr>
          <w:rFonts w:ascii="Times New Roman" w:hAnsi="Times New Roman"/>
          <w:sz w:val="24"/>
          <w:szCs w:val="24"/>
        </w:rPr>
        <w:t xml:space="preserve"> (30% des cas) ; 10 </w:t>
      </w:r>
      <w:proofErr w:type="spellStart"/>
      <w:r w:rsidRPr="000F09F0">
        <w:rPr>
          <w:rFonts w:ascii="Times New Roman" w:hAnsi="Times New Roman"/>
          <w:sz w:val="24"/>
          <w:szCs w:val="24"/>
        </w:rPr>
        <w:t>parotidectomies</w:t>
      </w:r>
      <w:proofErr w:type="spellEnd"/>
      <w:r w:rsidRPr="000F09F0">
        <w:rPr>
          <w:rFonts w:ascii="Times New Roman" w:hAnsi="Times New Roman"/>
          <w:sz w:val="24"/>
          <w:szCs w:val="24"/>
        </w:rPr>
        <w:t xml:space="preserve"> totales (20% des cas) et 12 sous-</w:t>
      </w:r>
      <w:proofErr w:type="spellStart"/>
      <w:r w:rsidRPr="000F09F0">
        <w:rPr>
          <w:rFonts w:ascii="Times New Roman" w:hAnsi="Times New Roman"/>
          <w:sz w:val="24"/>
          <w:szCs w:val="24"/>
        </w:rPr>
        <w:t>mandibulectomies</w:t>
      </w:r>
      <w:proofErr w:type="spellEnd"/>
      <w:r w:rsidRPr="000F09F0">
        <w:rPr>
          <w:rFonts w:ascii="Times New Roman" w:hAnsi="Times New Roman"/>
          <w:sz w:val="24"/>
          <w:szCs w:val="24"/>
        </w:rPr>
        <w:t xml:space="preserve"> (24% des cas). Cinq patients (10%) ont eu une énucléation tumorale. </w:t>
      </w:r>
      <w:proofErr w:type="spellStart"/>
      <w:proofErr w:type="gramStart"/>
      <w:r w:rsidRPr="000F09F0">
        <w:rPr>
          <w:rFonts w:ascii="Times New Roman" w:hAnsi="Times New Roman"/>
          <w:sz w:val="24"/>
          <w:szCs w:val="24"/>
        </w:rPr>
        <w:t>Histologiquement,Les</w:t>
      </w:r>
      <w:proofErr w:type="spellEnd"/>
      <w:proofErr w:type="gramEnd"/>
      <w:r w:rsidRPr="000F09F0">
        <w:rPr>
          <w:rFonts w:ascii="Times New Roman" w:hAnsi="Times New Roman"/>
          <w:sz w:val="24"/>
          <w:szCs w:val="24"/>
        </w:rPr>
        <w:t xml:space="preserve"> composantes épithéliale et myoépithéliale étaient les plus fréquentes dans 70% des cas (n=35) (tableau II).Le type de stroma </w:t>
      </w:r>
      <w:proofErr w:type="spellStart"/>
      <w:r w:rsidRPr="000F09F0">
        <w:rPr>
          <w:rFonts w:ascii="Times New Roman" w:hAnsi="Times New Roman"/>
          <w:sz w:val="24"/>
          <w:szCs w:val="24"/>
        </w:rPr>
        <w:t>myxoïde</w:t>
      </w:r>
      <w:proofErr w:type="spellEnd"/>
      <w:r w:rsidRPr="000F09F0">
        <w:rPr>
          <w:rFonts w:ascii="Times New Roman" w:hAnsi="Times New Roman"/>
          <w:sz w:val="24"/>
          <w:szCs w:val="24"/>
        </w:rPr>
        <w:t xml:space="preserve"> était le plus fréquent (n=28, soit 56,0%), suivi du stroma </w:t>
      </w:r>
      <w:proofErr w:type="spellStart"/>
      <w:r w:rsidRPr="000F09F0">
        <w:rPr>
          <w:rFonts w:ascii="Times New Roman" w:hAnsi="Times New Roman"/>
          <w:sz w:val="24"/>
          <w:szCs w:val="24"/>
        </w:rPr>
        <w:t>myxoïde</w:t>
      </w:r>
      <w:proofErr w:type="spellEnd"/>
      <w:r w:rsidRPr="000F09F0">
        <w:rPr>
          <w:rFonts w:ascii="Times New Roman" w:hAnsi="Times New Roman"/>
          <w:sz w:val="24"/>
          <w:szCs w:val="24"/>
        </w:rPr>
        <w:t xml:space="preserve"> et fibreux (n=7, soit 14%) et du stroma </w:t>
      </w:r>
      <w:proofErr w:type="spellStart"/>
      <w:r w:rsidRPr="000F09F0">
        <w:rPr>
          <w:rFonts w:ascii="Times New Roman" w:hAnsi="Times New Roman"/>
          <w:sz w:val="24"/>
          <w:szCs w:val="24"/>
        </w:rPr>
        <w:t>myxoïde</w:t>
      </w:r>
      <w:proofErr w:type="spellEnd"/>
      <w:r w:rsidRPr="000F09F0">
        <w:rPr>
          <w:rFonts w:ascii="Times New Roman" w:hAnsi="Times New Roman"/>
          <w:sz w:val="24"/>
          <w:szCs w:val="24"/>
        </w:rPr>
        <w:t xml:space="preserve"> et </w:t>
      </w:r>
      <w:proofErr w:type="spellStart"/>
      <w:r w:rsidRPr="000F09F0">
        <w:rPr>
          <w:rFonts w:ascii="Times New Roman" w:hAnsi="Times New Roman"/>
          <w:sz w:val="24"/>
          <w:szCs w:val="24"/>
        </w:rPr>
        <w:t>hyalinisé</w:t>
      </w:r>
      <w:proofErr w:type="spellEnd"/>
      <w:r w:rsidRPr="000F09F0">
        <w:rPr>
          <w:rFonts w:ascii="Times New Roman" w:hAnsi="Times New Roman"/>
          <w:sz w:val="24"/>
          <w:szCs w:val="24"/>
        </w:rPr>
        <w:t xml:space="preserve"> (n=7, soit 14,0%) (tableau III).</w:t>
      </w:r>
    </w:p>
    <w:p w:rsidR="00D56B95" w:rsidRPr="000F09F0" w:rsidRDefault="00D56B95" w:rsidP="002C0368">
      <w:pPr>
        <w:pStyle w:val="Paragraphedeliste"/>
        <w:spacing w:line="240" w:lineRule="auto"/>
        <w:ind w:left="0"/>
        <w:jc w:val="both"/>
        <w:rPr>
          <w:rFonts w:ascii="Times New Roman" w:hAnsi="Times New Roman"/>
          <w:sz w:val="24"/>
          <w:szCs w:val="24"/>
        </w:rPr>
      </w:pPr>
      <w:r w:rsidRPr="000F09F0">
        <w:rPr>
          <w:rFonts w:ascii="Times New Roman" w:hAnsi="Times New Roman"/>
          <w:sz w:val="24"/>
          <w:szCs w:val="24"/>
        </w:rPr>
        <w:t xml:space="preserve">Quatre patients avaient une récidive tumorale après la première chirurgie d’exérèse (soit 8% des cas). Une </w:t>
      </w:r>
      <w:r w:rsidRPr="000F09F0">
        <w:rPr>
          <w:rFonts w:ascii="Times New Roman" w:hAnsi="Times New Roman"/>
          <w:sz w:val="24"/>
          <w:szCs w:val="24"/>
        </w:rPr>
        <w:lastRenderedPageBreak/>
        <w:t>corrélation significative entre l’énucléation et la survenue des récidives tumorales post-opératoires (p=0,044) a été constatée (tableau IV</w:t>
      </w:r>
      <w:proofErr w:type="gramStart"/>
      <w:r w:rsidRPr="000F09F0">
        <w:rPr>
          <w:rFonts w:ascii="Times New Roman" w:hAnsi="Times New Roman"/>
          <w:sz w:val="24"/>
          <w:szCs w:val="24"/>
        </w:rPr>
        <w:t>).Une</w:t>
      </w:r>
      <w:proofErr w:type="gramEnd"/>
      <w:r w:rsidRPr="000F09F0">
        <w:rPr>
          <w:rFonts w:ascii="Times New Roman" w:hAnsi="Times New Roman"/>
          <w:sz w:val="24"/>
          <w:szCs w:val="24"/>
        </w:rPr>
        <w:t xml:space="preserve"> patiente de 79 ans, </w:t>
      </w:r>
      <w:r w:rsidRPr="000F09F0">
        <w:rPr>
          <w:rFonts w:ascii="Times New Roman" w:hAnsi="Times New Roman"/>
          <w:sz w:val="24"/>
          <w:szCs w:val="24"/>
        </w:rPr>
        <w:lastRenderedPageBreak/>
        <w:t>hypertendue et diabétique est décédée. Elle n’a pas eu d’exérèse tumorale mais traitée au service d’oncologie pour carcinome sur adénome pléomorphe.</w:t>
      </w:r>
    </w:p>
    <w:p w:rsidR="00D56B95" w:rsidRDefault="00D56B95" w:rsidP="002C0368">
      <w:pPr>
        <w:spacing w:line="240" w:lineRule="auto"/>
        <w:jc w:val="both"/>
        <w:rPr>
          <w:rFonts w:ascii="Times New Roman" w:hAnsi="Times New Roman" w:cs="Times New Roman"/>
          <w:b/>
          <w:color w:val="0000FF"/>
          <w:sz w:val="24"/>
        </w:rPr>
        <w:sectPr w:rsidR="00D56B95" w:rsidSect="003F2BF8">
          <w:type w:val="continuous"/>
          <w:pgSz w:w="11906" w:h="16838"/>
          <w:pgMar w:top="1417" w:right="1417" w:bottom="1417" w:left="1417" w:header="708" w:footer="708" w:gutter="0"/>
          <w:cols w:num="2" w:space="708"/>
          <w:docGrid w:linePitch="360"/>
        </w:sectPr>
      </w:pPr>
    </w:p>
    <w:p w:rsidR="003F2BF8" w:rsidRPr="00304AA1" w:rsidRDefault="002F5CBA" w:rsidP="002C0368">
      <w:pPr>
        <w:spacing w:line="240" w:lineRule="auto"/>
        <w:jc w:val="both"/>
        <w:rPr>
          <w:rFonts w:ascii="Times New Roman" w:hAnsi="Times New Roman" w:cs="Times New Roman"/>
          <w:b/>
          <w:color w:val="00B0F0"/>
          <w:sz w:val="24"/>
        </w:rPr>
        <w:sectPr w:rsidR="003F2BF8" w:rsidRPr="00304AA1" w:rsidSect="003F2BF8">
          <w:type w:val="continuous"/>
          <w:pgSz w:w="11906" w:h="16838"/>
          <w:pgMar w:top="1417" w:right="1417" w:bottom="1417" w:left="1417" w:header="708" w:footer="708" w:gutter="0"/>
          <w:cols w:space="708"/>
          <w:docGrid w:linePitch="360"/>
        </w:sectPr>
      </w:pPr>
      <w:r>
        <w:rPr>
          <w:rFonts w:ascii="Times New Roman" w:hAnsi="Times New Roman" w:cs="Times New Roman"/>
          <w:b/>
          <w:noProof/>
          <w:color w:val="00B0F0"/>
          <w:sz w:val="24"/>
        </w:rPr>
        <w:lastRenderedPageBreak/>
        <w:pict>
          <v:shape id="_x0000_s1039" type="#_x0000_t32" alt="" style="position:absolute;left:0;text-align:left;margin-left:58.15pt;margin-top:9.15pt;width:398.4pt;height:0;z-index:251668480;mso-wrap-edited:f" o:connectortype="straight" strokecolor="#00b0f0" strokeweight="1.5pt"/>
        </w:pict>
      </w:r>
      <w:r w:rsidR="00FA7286" w:rsidRPr="00304AA1">
        <w:rPr>
          <w:rFonts w:ascii="Times New Roman" w:hAnsi="Times New Roman" w:cs="Times New Roman"/>
          <w:b/>
          <w:color w:val="00B0F0"/>
          <w:sz w:val="24"/>
        </w:rPr>
        <w:t>Discussion</w:t>
      </w:r>
    </w:p>
    <w:p w:rsidR="00D56B95" w:rsidRPr="000F09F0" w:rsidRDefault="00D56B95" w:rsidP="002C0368">
      <w:pPr>
        <w:spacing w:before="240" w:after="0" w:line="240" w:lineRule="auto"/>
        <w:ind w:firstLine="709"/>
        <w:jc w:val="both"/>
        <w:rPr>
          <w:rFonts w:ascii="Times New Roman" w:hAnsi="Times New Roman"/>
          <w:sz w:val="24"/>
          <w:szCs w:val="24"/>
        </w:rPr>
      </w:pPr>
      <w:r w:rsidRPr="005960BD">
        <w:rPr>
          <w:rFonts w:ascii="Times New Roman" w:hAnsi="Times New Roman"/>
          <w:color w:val="000000"/>
          <w:sz w:val="24"/>
          <w:szCs w:val="24"/>
        </w:rPr>
        <w:lastRenderedPageBreak/>
        <w:t>Les tumeurs des glandes salivaires constituent 4% des tumeurs de la tête et du cou chez l’adulte (5). L’adénome pléomorphe constitue 73% des tumeurs des glandes salivaires en général, et 75 à 80% des tumeurs parotidiennes (3). Nous avons recensé seulement 46 cas d’adénome pléomorphe et 4 cas de carcinome sur adénome pléomorphe durant 15 ans. Dans la pratique</w:t>
      </w:r>
      <w:r w:rsidR="000F09F0">
        <w:rPr>
          <w:rFonts w:ascii="Times New Roman" w:hAnsi="Times New Roman"/>
          <w:color w:val="000000"/>
          <w:sz w:val="24"/>
          <w:szCs w:val="24"/>
        </w:rPr>
        <w:t xml:space="preserve"> à Madagascar</w:t>
      </w:r>
      <w:r w:rsidRPr="005960BD">
        <w:rPr>
          <w:rFonts w:ascii="Times New Roman" w:hAnsi="Times New Roman"/>
          <w:color w:val="000000"/>
          <w:sz w:val="24"/>
          <w:szCs w:val="24"/>
        </w:rPr>
        <w:t>, le taux de ré</w:t>
      </w:r>
      <w:r w:rsidRPr="000F09F0">
        <w:rPr>
          <w:rFonts w:ascii="Times New Roman" w:hAnsi="Times New Roman"/>
          <w:sz w:val="24"/>
          <w:szCs w:val="24"/>
        </w:rPr>
        <w:t xml:space="preserve">alisation des examens anatomopathologiques des pièces opératoires des tumeurs des glandes salivaires est faible </w:t>
      </w:r>
      <w:proofErr w:type="spellStart"/>
      <w:r w:rsidRPr="000F09F0">
        <w:rPr>
          <w:rFonts w:ascii="Times New Roman" w:hAnsi="Times New Roman"/>
          <w:sz w:val="24"/>
          <w:szCs w:val="24"/>
        </w:rPr>
        <w:t>erronant</w:t>
      </w:r>
      <w:proofErr w:type="spellEnd"/>
      <w:r w:rsidRPr="000F09F0">
        <w:rPr>
          <w:rFonts w:ascii="Times New Roman" w:hAnsi="Times New Roman"/>
          <w:sz w:val="24"/>
          <w:szCs w:val="24"/>
        </w:rPr>
        <w:t xml:space="preserve"> nos données épidémiologiques. Dans cette série, nous avons constaté une prédominance féminine (70% des cas) avec un sex-ratio de 0,43 qui est superposable avec la </w:t>
      </w:r>
      <w:proofErr w:type="spellStart"/>
      <w:proofErr w:type="gramStart"/>
      <w:r w:rsidRPr="000F09F0">
        <w:rPr>
          <w:rFonts w:ascii="Times New Roman" w:hAnsi="Times New Roman"/>
          <w:sz w:val="24"/>
          <w:szCs w:val="24"/>
        </w:rPr>
        <w:t>littérature.Fassih</w:t>
      </w:r>
      <w:r w:rsidRPr="000F09F0">
        <w:rPr>
          <w:rFonts w:ascii="Times New Roman" w:hAnsi="Times New Roman"/>
          <w:i/>
          <w:iCs/>
          <w:sz w:val="24"/>
          <w:szCs w:val="24"/>
        </w:rPr>
        <w:t>et</w:t>
      </w:r>
      <w:proofErr w:type="spellEnd"/>
      <w:proofErr w:type="gramEnd"/>
      <w:r w:rsidRPr="000F09F0">
        <w:rPr>
          <w:rFonts w:ascii="Times New Roman" w:hAnsi="Times New Roman"/>
          <w:i/>
          <w:iCs/>
          <w:sz w:val="24"/>
          <w:szCs w:val="24"/>
        </w:rPr>
        <w:t xml:space="preserve"> al</w:t>
      </w:r>
      <w:r w:rsidRPr="000F09F0">
        <w:rPr>
          <w:rFonts w:ascii="Times New Roman" w:hAnsi="Times New Roman"/>
          <w:sz w:val="24"/>
          <w:szCs w:val="24"/>
        </w:rPr>
        <w:t xml:space="preserve">. </w:t>
      </w:r>
      <w:proofErr w:type="gramStart"/>
      <w:r w:rsidRPr="000F09F0">
        <w:rPr>
          <w:rFonts w:ascii="Times New Roman" w:hAnsi="Times New Roman"/>
          <w:sz w:val="24"/>
          <w:szCs w:val="24"/>
        </w:rPr>
        <w:t>en</w:t>
      </w:r>
      <w:proofErr w:type="gramEnd"/>
      <w:r w:rsidRPr="000F09F0">
        <w:rPr>
          <w:rFonts w:ascii="Times New Roman" w:hAnsi="Times New Roman"/>
          <w:sz w:val="24"/>
          <w:szCs w:val="24"/>
        </w:rPr>
        <w:t xml:space="preserve"> 2014 ont trouvé un sex-ratio de 0,69 (1). Les influences hormonales pourraient contribuer à la prédominance féminine telles que les facteurs liés aux œstrogènes (6). L’âge moyen de survenue de l’adénome pléomorphe le plus commun dans la littérature ainsi que dans notre étude est autour de 40 ans (3</w:t>
      </w:r>
      <w:proofErr w:type="gramStart"/>
      <w:r w:rsidRPr="000F09F0">
        <w:rPr>
          <w:rFonts w:ascii="Times New Roman" w:hAnsi="Times New Roman"/>
          <w:sz w:val="24"/>
          <w:szCs w:val="24"/>
        </w:rPr>
        <w:t>).L’adénome</w:t>
      </w:r>
      <w:proofErr w:type="gramEnd"/>
      <w:r w:rsidRPr="000F09F0">
        <w:rPr>
          <w:rFonts w:ascii="Times New Roman" w:hAnsi="Times New Roman"/>
          <w:sz w:val="24"/>
          <w:szCs w:val="24"/>
        </w:rPr>
        <w:t xml:space="preserve"> pléomorphe est une tumeur d’évolution lente et non douloureuse expliquant ainsi le retard de consultation. </w:t>
      </w:r>
      <w:proofErr w:type="spellStart"/>
      <w:r w:rsidRPr="000F09F0">
        <w:rPr>
          <w:rFonts w:ascii="Times New Roman" w:hAnsi="Times New Roman"/>
          <w:sz w:val="24"/>
          <w:szCs w:val="24"/>
        </w:rPr>
        <w:t>Akintubub</w:t>
      </w:r>
      <w:r w:rsidRPr="000F09F0">
        <w:rPr>
          <w:rFonts w:ascii="Times New Roman" w:hAnsi="Times New Roman"/>
          <w:i/>
          <w:sz w:val="24"/>
          <w:szCs w:val="24"/>
        </w:rPr>
        <w:t>et</w:t>
      </w:r>
      <w:proofErr w:type="spellEnd"/>
      <w:r w:rsidRPr="000F09F0">
        <w:rPr>
          <w:rFonts w:ascii="Times New Roman" w:hAnsi="Times New Roman"/>
          <w:i/>
          <w:sz w:val="24"/>
          <w:szCs w:val="24"/>
        </w:rPr>
        <w:t xml:space="preserve"> </w:t>
      </w:r>
      <w:proofErr w:type="spellStart"/>
      <w:proofErr w:type="gramStart"/>
      <w:r w:rsidRPr="000F09F0">
        <w:rPr>
          <w:rFonts w:ascii="Times New Roman" w:hAnsi="Times New Roman"/>
          <w:i/>
          <w:sz w:val="24"/>
          <w:szCs w:val="24"/>
        </w:rPr>
        <w:t>al.</w:t>
      </w:r>
      <w:r w:rsidRPr="000F09F0">
        <w:rPr>
          <w:rFonts w:ascii="Times New Roman" w:hAnsi="Times New Roman"/>
          <w:sz w:val="24"/>
          <w:szCs w:val="24"/>
        </w:rPr>
        <w:t>en</w:t>
      </w:r>
      <w:proofErr w:type="spellEnd"/>
      <w:proofErr w:type="gramEnd"/>
      <w:r w:rsidRPr="000F09F0">
        <w:rPr>
          <w:rFonts w:ascii="Times New Roman" w:hAnsi="Times New Roman"/>
          <w:sz w:val="24"/>
          <w:szCs w:val="24"/>
        </w:rPr>
        <w:t xml:space="preserve"> 2016 ont trouvé une durée de 4 à 11 ans (7). Les irritations chroniques des glandes salivaires, le tabagisme et la </w:t>
      </w:r>
      <w:proofErr w:type="spellStart"/>
      <w:r w:rsidRPr="000F09F0">
        <w:rPr>
          <w:rFonts w:ascii="Times New Roman" w:hAnsi="Times New Roman"/>
          <w:sz w:val="24"/>
          <w:szCs w:val="24"/>
        </w:rPr>
        <w:t>sialadénite</w:t>
      </w:r>
      <w:proofErr w:type="spellEnd"/>
      <w:r w:rsidRPr="000F09F0">
        <w:rPr>
          <w:rFonts w:ascii="Times New Roman" w:hAnsi="Times New Roman"/>
          <w:sz w:val="24"/>
          <w:szCs w:val="24"/>
        </w:rPr>
        <w:t xml:space="preserve"> virale chronique sont considérés comme des facteurs de risques des adénomes pléomorphes même si seulement 16% (n=8) de nos patients étaient tabagiques (8).</w:t>
      </w:r>
    </w:p>
    <w:p w:rsidR="00D56B95" w:rsidRPr="000F09F0" w:rsidRDefault="00D56B95" w:rsidP="002C0368">
      <w:pPr>
        <w:spacing w:before="240" w:after="240" w:line="240" w:lineRule="auto"/>
        <w:ind w:firstLine="709"/>
        <w:jc w:val="both"/>
        <w:rPr>
          <w:rFonts w:ascii="Times New Roman" w:hAnsi="Times New Roman"/>
          <w:sz w:val="24"/>
          <w:szCs w:val="24"/>
        </w:rPr>
      </w:pPr>
      <w:r w:rsidRPr="000F09F0">
        <w:rPr>
          <w:rFonts w:ascii="Times New Roman" w:hAnsi="Times New Roman"/>
          <w:sz w:val="24"/>
          <w:szCs w:val="24"/>
        </w:rPr>
        <w:t xml:space="preserve">Les glandes salivaires, qu’elles soient principales ou accessoires, peuvent être le siège d’un adénome pléomorphe. Mais la parotide reste la glande la plus concernée dans 50 à 80% des cas (1).  Notre constatation sur l’existence d’une </w:t>
      </w:r>
      <w:r w:rsidRPr="000F09F0">
        <w:rPr>
          <w:rFonts w:ascii="Times New Roman" w:hAnsi="Times New Roman"/>
          <w:sz w:val="24"/>
          <w:szCs w:val="24"/>
        </w:rPr>
        <w:lastRenderedPageBreak/>
        <w:t xml:space="preserve">corrélation statistiquement significative entre la sensibilité de la tuméfaction, la présence d’adénopathie satellite et la nature maligne ne fait qu’appuyer la constatation de </w:t>
      </w:r>
      <w:proofErr w:type="spellStart"/>
      <w:r w:rsidRPr="000F09F0">
        <w:rPr>
          <w:rFonts w:ascii="Times New Roman" w:hAnsi="Times New Roman"/>
          <w:sz w:val="24"/>
          <w:szCs w:val="24"/>
        </w:rPr>
        <w:t>Fassih</w:t>
      </w:r>
      <w:r w:rsidRPr="000F09F0">
        <w:rPr>
          <w:rFonts w:ascii="Times New Roman" w:hAnsi="Times New Roman"/>
          <w:i/>
          <w:iCs/>
          <w:sz w:val="24"/>
          <w:szCs w:val="24"/>
        </w:rPr>
        <w:t>et</w:t>
      </w:r>
      <w:proofErr w:type="spellEnd"/>
      <w:r w:rsidRPr="000F09F0">
        <w:rPr>
          <w:rFonts w:ascii="Times New Roman" w:hAnsi="Times New Roman"/>
          <w:i/>
          <w:sz w:val="24"/>
          <w:szCs w:val="24"/>
        </w:rPr>
        <w:t xml:space="preserve"> al</w:t>
      </w:r>
      <w:r w:rsidRPr="000F09F0">
        <w:rPr>
          <w:rFonts w:ascii="Times New Roman" w:hAnsi="Times New Roman"/>
          <w:sz w:val="24"/>
          <w:szCs w:val="24"/>
        </w:rPr>
        <w:t>. (1). La présence d’adénopathie et de lésion osseuse en regard de la tuméfaction indique déjà une éventuelle métastase ganglionnaire et ou loco-</w:t>
      </w:r>
      <w:proofErr w:type="spellStart"/>
      <w:proofErr w:type="gramStart"/>
      <w:r w:rsidRPr="000F09F0">
        <w:rPr>
          <w:rFonts w:ascii="Times New Roman" w:hAnsi="Times New Roman"/>
          <w:sz w:val="24"/>
          <w:szCs w:val="24"/>
        </w:rPr>
        <w:t>régionale.La</w:t>
      </w:r>
      <w:proofErr w:type="spellEnd"/>
      <w:proofErr w:type="gramEnd"/>
      <w:r w:rsidRPr="000F09F0">
        <w:rPr>
          <w:rFonts w:ascii="Times New Roman" w:hAnsi="Times New Roman"/>
          <w:sz w:val="24"/>
          <w:szCs w:val="24"/>
        </w:rPr>
        <w:t xml:space="preserve"> paralysie faciale est aussi un des indicateurs statistiquement significatifs de malignité (1). </w:t>
      </w:r>
    </w:p>
    <w:p w:rsidR="00D56B95" w:rsidRPr="000F09F0" w:rsidRDefault="00D56B95" w:rsidP="002C0368">
      <w:pPr>
        <w:spacing w:before="240" w:after="240" w:line="240" w:lineRule="auto"/>
        <w:ind w:firstLine="709"/>
        <w:jc w:val="both"/>
        <w:rPr>
          <w:rFonts w:ascii="Times New Roman" w:hAnsi="Times New Roman"/>
          <w:sz w:val="24"/>
          <w:szCs w:val="24"/>
        </w:rPr>
      </w:pPr>
      <w:r w:rsidRPr="000F09F0">
        <w:rPr>
          <w:rFonts w:ascii="Times New Roman" w:hAnsi="Times New Roman"/>
          <w:sz w:val="24"/>
          <w:szCs w:val="24"/>
        </w:rPr>
        <w:t xml:space="preserve">Les examens d'imagerie des glandes salivaires peuvent guider les biopsies pour la confirmation histologique et contribuer à la planification chirurgicale. Ces examens sont indispensables pour les discussions des pronostics en cas de carcinome ex-adénome pléomorphe (9). La </w:t>
      </w:r>
      <w:proofErr w:type="spellStart"/>
      <w:r w:rsidRPr="000F09F0">
        <w:rPr>
          <w:rFonts w:ascii="Times New Roman" w:hAnsi="Times New Roman"/>
          <w:sz w:val="24"/>
          <w:szCs w:val="24"/>
        </w:rPr>
        <w:t>cytoponction</w:t>
      </w:r>
      <w:proofErr w:type="spellEnd"/>
      <w:r w:rsidRPr="000F09F0">
        <w:rPr>
          <w:rFonts w:ascii="Times New Roman" w:hAnsi="Times New Roman"/>
          <w:sz w:val="24"/>
          <w:szCs w:val="24"/>
        </w:rPr>
        <w:t xml:space="preserve"> est particulièrement recommandée lorsque le signal IRM n’est pas parfaitement typique d’adénome pléomorphe (10). Dans cette série, nos résultats d’examen anatomopathologique sont différents que ceux de la littérature. Nous n’avons pas pu classer les patients selon les sous-types d’adénome pléomorphe (selon la proportion du stroma dont le sous-type classique ou mixte avec 30 à 50% de stroma, le sous-type </w:t>
      </w:r>
      <w:proofErr w:type="spellStart"/>
      <w:r w:rsidRPr="000F09F0">
        <w:rPr>
          <w:rFonts w:ascii="Times New Roman" w:hAnsi="Times New Roman"/>
          <w:sz w:val="24"/>
          <w:szCs w:val="24"/>
        </w:rPr>
        <w:t>hypercellulaire</w:t>
      </w:r>
      <w:proofErr w:type="spellEnd"/>
      <w:r w:rsidRPr="000F09F0">
        <w:rPr>
          <w:rFonts w:ascii="Times New Roman" w:hAnsi="Times New Roman"/>
          <w:sz w:val="24"/>
          <w:szCs w:val="24"/>
        </w:rPr>
        <w:t xml:space="preserve"> avec stroma de 20 à 30%, et le sous-type </w:t>
      </w:r>
      <w:proofErr w:type="spellStart"/>
      <w:r w:rsidRPr="000F09F0">
        <w:rPr>
          <w:rFonts w:ascii="Times New Roman" w:hAnsi="Times New Roman"/>
          <w:sz w:val="24"/>
          <w:szCs w:val="24"/>
        </w:rPr>
        <w:t>myxoïde</w:t>
      </w:r>
      <w:proofErr w:type="spellEnd"/>
      <w:r w:rsidRPr="000F09F0">
        <w:rPr>
          <w:rFonts w:ascii="Times New Roman" w:hAnsi="Times New Roman"/>
          <w:sz w:val="24"/>
          <w:szCs w:val="24"/>
        </w:rPr>
        <w:t xml:space="preserve"> avec une proportion de stroma de 80%) par manque de données dans nos résultats d’examens histologiques (3). </w:t>
      </w:r>
    </w:p>
    <w:p w:rsidR="00D56B95" w:rsidRPr="000F09F0" w:rsidRDefault="00D56B95" w:rsidP="002C0368">
      <w:pPr>
        <w:spacing w:before="240" w:after="240" w:line="240" w:lineRule="auto"/>
        <w:ind w:firstLine="709"/>
        <w:jc w:val="both"/>
        <w:rPr>
          <w:rFonts w:ascii="Times New Roman" w:hAnsi="Times New Roman"/>
          <w:sz w:val="24"/>
          <w:szCs w:val="24"/>
        </w:rPr>
      </w:pPr>
      <w:r w:rsidRPr="000F09F0">
        <w:rPr>
          <w:rFonts w:ascii="Times New Roman" w:hAnsi="Times New Roman"/>
          <w:sz w:val="24"/>
          <w:szCs w:val="24"/>
        </w:rPr>
        <w:t xml:space="preserve">La Société Française d’ORL recommande d’effectuer l’exérèse en monobloc complète lors d’une suspicion préopératoire d’adénome pléomorphe parotidien avec des marges de tissu sain ; lorsque cela est possible en fonction de la situation anatomique de la tumeur, tout en </w:t>
      </w:r>
      <w:r w:rsidRPr="000F09F0">
        <w:rPr>
          <w:rFonts w:ascii="Times New Roman" w:hAnsi="Times New Roman"/>
          <w:sz w:val="24"/>
          <w:szCs w:val="24"/>
        </w:rPr>
        <w:lastRenderedPageBreak/>
        <w:t xml:space="preserve">respectant le nerf facial. Cette marge de tissu sain était de 5mm pour </w:t>
      </w:r>
      <w:proofErr w:type="spellStart"/>
      <w:r w:rsidRPr="000F09F0">
        <w:rPr>
          <w:rFonts w:ascii="Times New Roman" w:hAnsi="Times New Roman"/>
          <w:sz w:val="24"/>
          <w:szCs w:val="24"/>
        </w:rPr>
        <w:t>Hamama</w:t>
      </w:r>
      <w:r w:rsidRPr="000F09F0">
        <w:rPr>
          <w:rFonts w:ascii="Times New Roman" w:hAnsi="Times New Roman"/>
          <w:i/>
          <w:sz w:val="24"/>
          <w:szCs w:val="24"/>
        </w:rPr>
        <w:t>et</w:t>
      </w:r>
      <w:proofErr w:type="spellEnd"/>
      <w:r w:rsidRPr="000F09F0">
        <w:rPr>
          <w:rFonts w:ascii="Times New Roman" w:hAnsi="Times New Roman"/>
          <w:i/>
          <w:sz w:val="24"/>
          <w:szCs w:val="24"/>
        </w:rPr>
        <w:t xml:space="preserve"> al.</w:t>
      </w:r>
      <w:r w:rsidRPr="000F09F0">
        <w:rPr>
          <w:rFonts w:ascii="Times New Roman" w:hAnsi="Times New Roman"/>
          <w:sz w:val="24"/>
          <w:szCs w:val="24"/>
        </w:rPr>
        <w:t xml:space="preserve"> (5). Malard </w:t>
      </w:r>
      <w:r w:rsidRPr="000F09F0">
        <w:rPr>
          <w:rFonts w:ascii="Times New Roman" w:hAnsi="Times New Roman"/>
          <w:i/>
          <w:sz w:val="24"/>
          <w:szCs w:val="24"/>
        </w:rPr>
        <w:t xml:space="preserve">et al. </w:t>
      </w:r>
      <w:proofErr w:type="gramStart"/>
      <w:r w:rsidRPr="000F09F0">
        <w:rPr>
          <w:rFonts w:ascii="Times New Roman" w:hAnsi="Times New Roman"/>
          <w:sz w:val="24"/>
          <w:szCs w:val="24"/>
        </w:rPr>
        <w:t>recommandaient</w:t>
      </w:r>
      <w:proofErr w:type="gramEnd"/>
      <w:r w:rsidRPr="000F09F0">
        <w:rPr>
          <w:rFonts w:ascii="Times New Roman" w:hAnsi="Times New Roman"/>
          <w:sz w:val="24"/>
          <w:szCs w:val="24"/>
        </w:rPr>
        <w:t xml:space="preserve"> d’éviter une effraction capsulaire pour prévenir les récidives (11). Pour les glandes salivaires accessoires et </w:t>
      </w:r>
      <w:proofErr w:type="spellStart"/>
      <w:r w:rsidRPr="000F09F0">
        <w:rPr>
          <w:rFonts w:ascii="Times New Roman" w:hAnsi="Times New Roman"/>
          <w:sz w:val="24"/>
          <w:szCs w:val="24"/>
        </w:rPr>
        <w:t>submandibulaire</w:t>
      </w:r>
      <w:proofErr w:type="spellEnd"/>
      <w:r w:rsidRPr="000F09F0">
        <w:rPr>
          <w:rFonts w:ascii="Times New Roman" w:hAnsi="Times New Roman"/>
          <w:sz w:val="24"/>
          <w:szCs w:val="24"/>
        </w:rPr>
        <w:t xml:space="preserve">, il était recommandé d’effectuer une chirurgie d’exérèse complète en monobloc (10). Notre étude nous a permis de conclure la liaison entre la pratique de l’énucléation et la survenue de récidive post-opératoire. </w:t>
      </w:r>
      <w:r w:rsidRPr="000F09F0">
        <w:rPr>
          <w:rFonts w:ascii="Times New Roman" w:hAnsi="Times New Roman"/>
          <w:sz w:val="24"/>
          <w:szCs w:val="24"/>
        </w:rPr>
        <w:lastRenderedPageBreak/>
        <w:t xml:space="preserve">Ces risques de récidives sont aussi plus élevés dans la forme à composante </w:t>
      </w:r>
      <w:proofErr w:type="spellStart"/>
      <w:r w:rsidRPr="000F09F0">
        <w:rPr>
          <w:rFonts w:ascii="Times New Roman" w:hAnsi="Times New Roman"/>
          <w:sz w:val="24"/>
          <w:szCs w:val="24"/>
        </w:rPr>
        <w:t>chondro-myxoïde</w:t>
      </w:r>
      <w:proofErr w:type="spellEnd"/>
      <w:r w:rsidRPr="000F09F0">
        <w:rPr>
          <w:rFonts w:ascii="Times New Roman" w:hAnsi="Times New Roman"/>
          <w:sz w:val="24"/>
          <w:szCs w:val="24"/>
        </w:rPr>
        <w:t xml:space="preserve"> et le sous-type </w:t>
      </w:r>
      <w:proofErr w:type="spellStart"/>
      <w:r w:rsidRPr="000F09F0">
        <w:rPr>
          <w:rFonts w:ascii="Times New Roman" w:hAnsi="Times New Roman"/>
          <w:sz w:val="24"/>
          <w:szCs w:val="24"/>
        </w:rPr>
        <w:t>hypercellulaire</w:t>
      </w:r>
      <w:proofErr w:type="spellEnd"/>
      <w:r w:rsidRPr="000F09F0">
        <w:rPr>
          <w:rFonts w:ascii="Times New Roman" w:hAnsi="Times New Roman"/>
          <w:sz w:val="24"/>
          <w:szCs w:val="24"/>
        </w:rPr>
        <w:t xml:space="preserve"> de la tumeur (12). Pourtant des études antérieures ont trouvé que la faible </w:t>
      </w:r>
      <w:proofErr w:type="spellStart"/>
      <w:r w:rsidRPr="000F09F0">
        <w:rPr>
          <w:rFonts w:ascii="Times New Roman" w:hAnsi="Times New Roman"/>
          <w:sz w:val="24"/>
          <w:szCs w:val="24"/>
        </w:rPr>
        <w:t>cellularité</w:t>
      </w:r>
      <w:proofErr w:type="spellEnd"/>
      <w:r w:rsidRPr="000F09F0">
        <w:rPr>
          <w:rFonts w:ascii="Times New Roman" w:hAnsi="Times New Roman"/>
          <w:sz w:val="24"/>
          <w:szCs w:val="24"/>
        </w:rPr>
        <w:t xml:space="preserve"> (à stroma riche) a été également décrite comme associée à un plus haut risque de récidive due à sa capsule tumorale très fine, la présence de pseudopodes et de nodules satellites (13).</w:t>
      </w:r>
    </w:p>
    <w:p w:rsidR="003F2BF8" w:rsidRDefault="003F2BF8" w:rsidP="002C0368">
      <w:pPr>
        <w:spacing w:line="240" w:lineRule="auto"/>
        <w:jc w:val="both"/>
        <w:rPr>
          <w:rFonts w:ascii="Times New Roman" w:hAnsi="Times New Roman" w:cs="Times New Roman"/>
          <w:b/>
          <w:sz w:val="24"/>
        </w:rPr>
        <w:sectPr w:rsidR="003F2BF8" w:rsidSect="003F2BF8">
          <w:type w:val="continuous"/>
          <w:pgSz w:w="11906" w:h="16838"/>
          <w:pgMar w:top="1417" w:right="1417" w:bottom="1417" w:left="1417" w:header="708" w:footer="708" w:gutter="0"/>
          <w:cols w:num="2" w:space="708"/>
          <w:docGrid w:linePitch="360"/>
        </w:sectPr>
      </w:pPr>
    </w:p>
    <w:p w:rsidR="00316FD4" w:rsidRDefault="00316FD4" w:rsidP="002C0368">
      <w:pPr>
        <w:spacing w:line="240" w:lineRule="auto"/>
        <w:jc w:val="both"/>
        <w:rPr>
          <w:rFonts w:ascii="Times New Roman" w:hAnsi="Times New Roman" w:cs="Times New Roman"/>
          <w:b/>
          <w:sz w:val="24"/>
        </w:rPr>
      </w:pPr>
    </w:p>
    <w:p w:rsidR="00685DE2" w:rsidRPr="00304AA1" w:rsidRDefault="002F5CBA" w:rsidP="002C0368">
      <w:pPr>
        <w:spacing w:line="240" w:lineRule="auto"/>
        <w:jc w:val="both"/>
        <w:rPr>
          <w:rFonts w:ascii="Times New Roman" w:hAnsi="Times New Roman" w:cs="Times New Roman"/>
          <w:b/>
          <w:color w:val="00B0F0"/>
          <w:sz w:val="24"/>
        </w:rPr>
      </w:pPr>
      <w:r>
        <w:rPr>
          <w:rFonts w:ascii="Times New Roman" w:hAnsi="Times New Roman" w:cs="Times New Roman"/>
          <w:b/>
          <w:noProof/>
          <w:color w:val="00B0F0"/>
          <w:sz w:val="24"/>
        </w:rPr>
        <w:pict>
          <v:shape id="_x0000_s1040" type="#_x0000_t32" alt="" style="position:absolute;left:0;text-align:left;margin-left:59.95pt;margin-top:7.95pt;width:392.4pt;height:0;z-index:251669504;mso-wrap-edited:f" o:connectortype="straight" strokecolor="#00b0f0" strokeweight="1.5pt"/>
        </w:pict>
      </w:r>
      <w:r w:rsidR="00685DE2" w:rsidRPr="00304AA1">
        <w:rPr>
          <w:rFonts w:ascii="Times New Roman" w:hAnsi="Times New Roman" w:cs="Times New Roman"/>
          <w:b/>
          <w:color w:val="00B0F0"/>
          <w:sz w:val="24"/>
        </w:rPr>
        <w:t>Conclusion</w:t>
      </w:r>
    </w:p>
    <w:p w:rsidR="00062885" w:rsidRPr="00D56B95" w:rsidRDefault="00D56B95" w:rsidP="002C0368">
      <w:pPr>
        <w:spacing w:before="240" w:after="240" w:line="240" w:lineRule="auto"/>
        <w:ind w:firstLine="709"/>
        <w:jc w:val="both"/>
        <w:rPr>
          <w:rFonts w:ascii="Times New Roman" w:hAnsi="Times New Roman"/>
          <w:sz w:val="24"/>
        </w:rPr>
      </w:pPr>
      <w:r w:rsidRPr="00FF1A41">
        <w:rPr>
          <w:rFonts w:ascii="Times New Roman" w:hAnsi="Times New Roman"/>
          <w:sz w:val="24"/>
        </w:rPr>
        <w:t xml:space="preserve">L’adénome pléomorphe est une des tumeurs bénignes des glandes salivaires les plus fréquentes qui pourrait se transformer en carcinome par la </w:t>
      </w:r>
      <w:proofErr w:type="spellStart"/>
      <w:proofErr w:type="gramStart"/>
      <w:r w:rsidRPr="00FF1A41">
        <w:rPr>
          <w:rFonts w:ascii="Times New Roman" w:hAnsi="Times New Roman"/>
          <w:sz w:val="24"/>
        </w:rPr>
        <w:t>suite.La</w:t>
      </w:r>
      <w:proofErr w:type="spellEnd"/>
      <w:proofErr w:type="gramEnd"/>
      <w:r w:rsidRPr="00FF1A41">
        <w:rPr>
          <w:rFonts w:ascii="Times New Roman" w:hAnsi="Times New Roman"/>
          <w:sz w:val="24"/>
        </w:rPr>
        <w:t xml:space="preserve"> présence de douleur, d’adénopathie satellite et de lyse osseuse</w:t>
      </w:r>
      <w:r>
        <w:rPr>
          <w:rFonts w:ascii="Times New Roman" w:hAnsi="Times New Roman"/>
          <w:sz w:val="24"/>
        </w:rPr>
        <w:t xml:space="preserve"> en regard de la tuméfaction devrait nous alerter sur la </w:t>
      </w:r>
      <w:proofErr w:type="spellStart"/>
      <w:r>
        <w:rPr>
          <w:rFonts w:ascii="Times New Roman" w:hAnsi="Times New Roman"/>
          <w:sz w:val="24"/>
        </w:rPr>
        <w:t>possibilitéd’une</w:t>
      </w:r>
      <w:proofErr w:type="spellEnd"/>
      <w:r>
        <w:rPr>
          <w:rFonts w:ascii="Times New Roman" w:hAnsi="Times New Roman"/>
          <w:sz w:val="24"/>
        </w:rPr>
        <w:t xml:space="preserve"> transformation maligne</w:t>
      </w:r>
      <w:r w:rsidRPr="00FF1A41">
        <w:rPr>
          <w:rFonts w:ascii="Times New Roman" w:hAnsi="Times New Roman"/>
          <w:sz w:val="24"/>
        </w:rPr>
        <w:t>. L’énucléation tumorale constitue un risque de récidive post-opératoire. Le meilleur traitement de l’adénome pléomorphe est l’exérèse chirurgicale radicale.</w:t>
      </w:r>
    </w:p>
    <w:p w:rsidR="00B23BC7" w:rsidRPr="00304AA1" w:rsidRDefault="002F5CBA" w:rsidP="002C0368">
      <w:pPr>
        <w:spacing w:line="240" w:lineRule="auto"/>
        <w:jc w:val="both"/>
        <w:rPr>
          <w:rFonts w:ascii="Times New Roman" w:hAnsi="Times New Roman" w:cs="Times New Roman"/>
          <w:b/>
          <w:color w:val="00B0F0"/>
          <w:sz w:val="24"/>
        </w:rPr>
      </w:pPr>
      <w:r>
        <w:rPr>
          <w:rFonts w:ascii="Times New Roman" w:hAnsi="Times New Roman" w:cs="Times New Roman"/>
          <w:b/>
          <w:noProof/>
          <w:color w:val="00B0F0"/>
          <w:sz w:val="24"/>
        </w:rPr>
        <w:pict>
          <v:shape id="_x0000_s1041" type="#_x0000_t32" alt="" style="position:absolute;left:0;text-align:left;margin-left:59.35pt;margin-top:7.8pt;width:395.4pt;height:0;z-index:251670528;mso-wrap-edited:f" o:connectortype="straight" strokecolor="#00b0f0" strokeweight="1.5pt"/>
        </w:pict>
      </w:r>
      <w:r w:rsidR="00902E15" w:rsidRPr="00304AA1">
        <w:rPr>
          <w:rFonts w:ascii="Times New Roman" w:hAnsi="Times New Roman" w:cs="Times New Roman"/>
          <w:b/>
          <w:color w:val="00B0F0"/>
          <w:sz w:val="24"/>
        </w:rPr>
        <w:t>Références</w:t>
      </w:r>
    </w:p>
    <w:p w:rsidR="00D56B95" w:rsidRPr="00D56B95" w:rsidRDefault="00D56B95" w:rsidP="002C0368">
      <w:pPr>
        <w:pStyle w:val="Paragraphedeliste"/>
        <w:numPr>
          <w:ilvl w:val="0"/>
          <w:numId w:val="2"/>
        </w:numPr>
        <w:tabs>
          <w:tab w:val="clear" w:pos="720"/>
          <w:tab w:val="num" w:pos="567"/>
        </w:tabs>
        <w:spacing w:line="240" w:lineRule="auto"/>
        <w:ind w:left="567" w:hanging="425"/>
        <w:jc w:val="both"/>
        <w:rPr>
          <w:rFonts w:ascii="Times New Roman" w:hAnsi="Times New Roman"/>
          <w:sz w:val="24"/>
          <w:szCs w:val="24"/>
        </w:rPr>
      </w:pPr>
      <w:proofErr w:type="spellStart"/>
      <w:r w:rsidRPr="00D56B95">
        <w:rPr>
          <w:rFonts w:ascii="Times New Roman" w:hAnsi="Times New Roman"/>
          <w:sz w:val="24"/>
          <w:szCs w:val="24"/>
        </w:rPr>
        <w:t>Fassih</w:t>
      </w:r>
      <w:proofErr w:type="spellEnd"/>
      <w:r w:rsidRPr="00D56B95">
        <w:rPr>
          <w:rFonts w:ascii="Times New Roman" w:hAnsi="Times New Roman"/>
          <w:sz w:val="24"/>
          <w:szCs w:val="24"/>
        </w:rPr>
        <w:t xml:space="preserve"> M, Abada R, </w:t>
      </w:r>
      <w:proofErr w:type="spellStart"/>
      <w:r w:rsidRPr="00D56B95">
        <w:rPr>
          <w:rFonts w:ascii="Times New Roman" w:hAnsi="Times New Roman"/>
          <w:sz w:val="24"/>
          <w:szCs w:val="24"/>
        </w:rPr>
        <w:t>Rouadi</w:t>
      </w:r>
      <w:proofErr w:type="spellEnd"/>
      <w:r w:rsidRPr="00D56B95">
        <w:rPr>
          <w:rFonts w:ascii="Times New Roman" w:hAnsi="Times New Roman"/>
          <w:sz w:val="24"/>
          <w:szCs w:val="24"/>
        </w:rPr>
        <w:t xml:space="preserve"> S, </w:t>
      </w:r>
      <w:proofErr w:type="spellStart"/>
      <w:r w:rsidRPr="00D56B95">
        <w:rPr>
          <w:rFonts w:ascii="Times New Roman" w:hAnsi="Times New Roman"/>
          <w:sz w:val="24"/>
          <w:szCs w:val="24"/>
        </w:rPr>
        <w:t>Mahtar</w:t>
      </w:r>
      <w:proofErr w:type="spellEnd"/>
      <w:r w:rsidRPr="00D56B95">
        <w:rPr>
          <w:rFonts w:ascii="Times New Roman" w:hAnsi="Times New Roman"/>
          <w:sz w:val="24"/>
          <w:szCs w:val="24"/>
        </w:rPr>
        <w:t xml:space="preserve"> M, </w:t>
      </w:r>
      <w:proofErr w:type="spellStart"/>
      <w:r w:rsidRPr="00D56B95">
        <w:rPr>
          <w:rFonts w:ascii="Times New Roman" w:hAnsi="Times New Roman"/>
          <w:sz w:val="24"/>
          <w:szCs w:val="24"/>
        </w:rPr>
        <w:t>Roubal</w:t>
      </w:r>
      <w:proofErr w:type="spellEnd"/>
      <w:r w:rsidRPr="00D56B95">
        <w:rPr>
          <w:rFonts w:ascii="Times New Roman" w:hAnsi="Times New Roman"/>
          <w:sz w:val="24"/>
          <w:szCs w:val="24"/>
        </w:rPr>
        <w:t xml:space="preserve"> M, </w:t>
      </w:r>
      <w:proofErr w:type="spellStart"/>
      <w:r w:rsidRPr="00D56B95">
        <w:rPr>
          <w:rFonts w:ascii="Times New Roman" w:hAnsi="Times New Roman"/>
          <w:sz w:val="24"/>
          <w:szCs w:val="24"/>
        </w:rPr>
        <w:t>Essaadi</w:t>
      </w:r>
      <w:proofErr w:type="spellEnd"/>
      <w:r w:rsidRPr="00D56B95">
        <w:rPr>
          <w:rFonts w:ascii="Times New Roman" w:hAnsi="Times New Roman"/>
          <w:sz w:val="24"/>
          <w:szCs w:val="24"/>
        </w:rPr>
        <w:t xml:space="preserve"> M, et al. Les tumeurs des glandes salivaires, étude </w:t>
      </w:r>
      <w:proofErr w:type="spellStart"/>
      <w:r w:rsidRPr="00D56B95">
        <w:rPr>
          <w:rFonts w:ascii="Times New Roman" w:hAnsi="Times New Roman"/>
          <w:sz w:val="24"/>
          <w:szCs w:val="24"/>
        </w:rPr>
        <w:t>épidémio</w:t>
      </w:r>
      <w:proofErr w:type="spellEnd"/>
      <w:r w:rsidRPr="00D56B95">
        <w:rPr>
          <w:rFonts w:ascii="Times New Roman" w:hAnsi="Times New Roman"/>
          <w:sz w:val="24"/>
          <w:szCs w:val="24"/>
        </w:rPr>
        <w:t xml:space="preserve">-clinique et corrélation </w:t>
      </w:r>
      <w:proofErr w:type="spellStart"/>
      <w:proofErr w:type="gramStart"/>
      <w:r w:rsidRPr="00D56B95">
        <w:rPr>
          <w:rFonts w:ascii="Times New Roman" w:hAnsi="Times New Roman"/>
          <w:sz w:val="24"/>
          <w:szCs w:val="24"/>
        </w:rPr>
        <w:t>anatomoradiologique</w:t>
      </w:r>
      <w:proofErr w:type="spellEnd"/>
      <w:r w:rsidRPr="00D56B95">
        <w:rPr>
          <w:rFonts w:ascii="Times New Roman" w:hAnsi="Times New Roman"/>
          <w:sz w:val="24"/>
          <w:szCs w:val="24"/>
        </w:rPr>
        <w:t>:</w:t>
      </w:r>
      <w:proofErr w:type="gramEnd"/>
      <w:r w:rsidRPr="00D56B95">
        <w:rPr>
          <w:rFonts w:ascii="Times New Roman" w:hAnsi="Times New Roman"/>
          <w:sz w:val="24"/>
          <w:szCs w:val="24"/>
        </w:rPr>
        <w:t xml:space="preserve"> étude rétrospective à propos de 148 cas. </w:t>
      </w:r>
      <w:r w:rsidRPr="00D56B95">
        <w:rPr>
          <w:rFonts w:ascii="Times New Roman" w:hAnsi="Times New Roman"/>
          <w:i/>
          <w:iCs/>
          <w:sz w:val="24"/>
          <w:szCs w:val="24"/>
        </w:rPr>
        <w:t xml:space="preserve">Pan </w:t>
      </w:r>
      <w:proofErr w:type="spellStart"/>
      <w:r w:rsidRPr="00D56B95">
        <w:rPr>
          <w:rFonts w:ascii="Times New Roman" w:hAnsi="Times New Roman"/>
          <w:i/>
          <w:iCs/>
          <w:sz w:val="24"/>
          <w:szCs w:val="24"/>
        </w:rPr>
        <w:t>Afr</w:t>
      </w:r>
      <w:proofErr w:type="spellEnd"/>
      <w:r w:rsidRPr="00D56B95">
        <w:rPr>
          <w:rFonts w:ascii="Times New Roman" w:hAnsi="Times New Roman"/>
          <w:i/>
          <w:iCs/>
          <w:sz w:val="24"/>
          <w:szCs w:val="24"/>
        </w:rPr>
        <w:t xml:space="preserve"> Med J</w:t>
      </w:r>
      <w:r w:rsidRPr="00D56B95">
        <w:rPr>
          <w:rFonts w:ascii="Times New Roman" w:hAnsi="Times New Roman"/>
          <w:sz w:val="24"/>
          <w:szCs w:val="24"/>
        </w:rPr>
        <w:t xml:space="preserve">. </w:t>
      </w:r>
      <w:proofErr w:type="gramStart"/>
      <w:r w:rsidRPr="00D56B95">
        <w:rPr>
          <w:rFonts w:ascii="Times New Roman" w:hAnsi="Times New Roman"/>
          <w:sz w:val="24"/>
          <w:szCs w:val="24"/>
        </w:rPr>
        <w:t>2014;</w:t>
      </w:r>
      <w:proofErr w:type="gramEnd"/>
      <w:r w:rsidRPr="00D56B95">
        <w:rPr>
          <w:rFonts w:ascii="Times New Roman" w:hAnsi="Times New Roman"/>
          <w:sz w:val="24"/>
          <w:szCs w:val="24"/>
        </w:rPr>
        <w:t xml:space="preserve">19:187. </w:t>
      </w:r>
    </w:p>
    <w:p w:rsidR="00D56B95" w:rsidRPr="00D56B95" w:rsidRDefault="00D56B95" w:rsidP="002C0368">
      <w:pPr>
        <w:pStyle w:val="Paragraphedeliste"/>
        <w:numPr>
          <w:ilvl w:val="0"/>
          <w:numId w:val="2"/>
        </w:numPr>
        <w:tabs>
          <w:tab w:val="clear" w:pos="720"/>
          <w:tab w:val="num" w:pos="567"/>
        </w:tabs>
        <w:spacing w:line="240" w:lineRule="auto"/>
        <w:ind w:left="567" w:hanging="425"/>
        <w:jc w:val="both"/>
        <w:rPr>
          <w:rFonts w:ascii="Times New Roman" w:hAnsi="Times New Roman"/>
          <w:sz w:val="24"/>
          <w:szCs w:val="24"/>
          <w:lang w:val="en-US"/>
        </w:rPr>
      </w:pPr>
      <w:r w:rsidRPr="00D56B95">
        <w:rPr>
          <w:rFonts w:ascii="Times New Roman" w:hAnsi="Times New Roman"/>
          <w:sz w:val="24"/>
          <w:szCs w:val="24"/>
          <w:lang w:val="en-US"/>
        </w:rPr>
        <w:t xml:space="preserve">Lou SMY, Rich AM, De Silva RK, Ferguson MM. Pleomorphic adenoma of a molar salivary gland. </w:t>
      </w:r>
      <w:r w:rsidRPr="00D56B95">
        <w:rPr>
          <w:rFonts w:ascii="Times New Roman" w:hAnsi="Times New Roman"/>
          <w:i/>
          <w:iCs/>
          <w:sz w:val="24"/>
          <w:szCs w:val="24"/>
          <w:lang w:val="en-US"/>
        </w:rPr>
        <w:t xml:space="preserve">Oral </w:t>
      </w:r>
      <w:proofErr w:type="spellStart"/>
      <w:r w:rsidRPr="00D56B95">
        <w:rPr>
          <w:rFonts w:ascii="Times New Roman" w:hAnsi="Times New Roman"/>
          <w:i/>
          <w:iCs/>
          <w:sz w:val="24"/>
          <w:szCs w:val="24"/>
          <w:lang w:val="en-US"/>
        </w:rPr>
        <w:t>Oncol</w:t>
      </w:r>
      <w:proofErr w:type="spellEnd"/>
      <w:r w:rsidRPr="00D56B95">
        <w:rPr>
          <w:rFonts w:ascii="Times New Roman" w:hAnsi="Times New Roman"/>
          <w:i/>
          <w:iCs/>
          <w:sz w:val="24"/>
          <w:szCs w:val="24"/>
          <w:lang w:val="en-US"/>
        </w:rPr>
        <w:t xml:space="preserve"> Extra</w:t>
      </w:r>
      <w:r w:rsidRPr="00D56B95">
        <w:rPr>
          <w:rFonts w:ascii="Times New Roman" w:hAnsi="Times New Roman"/>
          <w:sz w:val="24"/>
          <w:szCs w:val="24"/>
          <w:lang w:val="en-US"/>
        </w:rPr>
        <w:t>. 2006;42(4):170-2.</w:t>
      </w:r>
    </w:p>
    <w:p w:rsidR="00D56B95" w:rsidRPr="00D56B95" w:rsidRDefault="00D56B95" w:rsidP="002C0368">
      <w:pPr>
        <w:pStyle w:val="Paragraphedeliste"/>
        <w:numPr>
          <w:ilvl w:val="0"/>
          <w:numId w:val="2"/>
        </w:numPr>
        <w:tabs>
          <w:tab w:val="clear" w:pos="720"/>
          <w:tab w:val="num" w:pos="567"/>
        </w:tabs>
        <w:spacing w:line="240" w:lineRule="auto"/>
        <w:ind w:left="567" w:hanging="425"/>
        <w:jc w:val="both"/>
        <w:rPr>
          <w:rFonts w:ascii="Times New Roman" w:hAnsi="Times New Roman"/>
          <w:sz w:val="24"/>
          <w:szCs w:val="24"/>
        </w:rPr>
      </w:pPr>
      <w:proofErr w:type="spellStart"/>
      <w:r w:rsidRPr="00D56B95">
        <w:rPr>
          <w:rFonts w:ascii="Times New Roman" w:hAnsi="Times New Roman"/>
          <w:sz w:val="24"/>
          <w:szCs w:val="24"/>
          <w:lang w:val="en-US"/>
        </w:rPr>
        <w:t>Larbcharoensub</w:t>
      </w:r>
      <w:proofErr w:type="spellEnd"/>
      <w:r w:rsidRPr="00D56B95">
        <w:rPr>
          <w:rFonts w:ascii="Times New Roman" w:hAnsi="Times New Roman"/>
          <w:sz w:val="24"/>
          <w:szCs w:val="24"/>
          <w:lang w:val="en-US"/>
        </w:rPr>
        <w:t xml:space="preserve"> N, </w:t>
      </w:r>
      <w:proofErr w:type="spellStart"/>
      <w:r w:rsidRPr="00D56B95">
        <w:rPr>
          <w:rFonts w:ascii="Times New Roman" w:hAnsi="Times New Roman"/>
          <w:sz w:val="24"/>
          <w:szCs w:val="24"/>
          <w:lang w:val="en-US"/>
        </w:rPr>
        <w:t>Karnsombut</w:t>
      </w:r>
      <w:proofErr w:type="spellEnd"/>
      <w:r w:rsidRPr="00D56B95">
        <w:rPr>
          <w:rFonts w:ascii="Times New Roman" w:hAnsi="Times New Roman"/>
          <w:sz w:val="24"/>
          <w:szCs w:val="24"/>
          <w:lang w:val="en-US"/>
        </w:rPr>
        <w:t xml:space="preserve"> P, </w:t>
      </w:r>
      <w:proofErr w:type="spellStart"/>
      <w:r w:rsidRPr="00D56B95">
        <w:rPr>
          <w:rFonts w:ascii="Times New Roman" w:hAnsi="Times New Roman"/>
          <w:sz w:val="24"/>
          <w:szCs w:val="24"/>
          <w:lang w:val="en-US"/>
        </w:rPr>
        <w:t>Tungkeeratichai</w:t>
      </w:r>
      <w:proofErr w:type="spellEnd"/>
      <w:r w:rsidRPr="00D56B95">
        <w:rPr>
          <w:rFonts w:ascii="Times New Roman" w:hAnsi="Times New Roman"/>
          <w:sz w:val="24"/>
          <w:szCs w:val="24"/>
          <w:lang w:val="en-US"/>
        </w:rPr>
        <w:t xml:space="preserve"> J, </w:t>
      </w:r>
      <w:proofErr w:type="spellStart"/>
      <w:r w:rsidRPr="00D56B95">
        <w:rPr>
          <w:rFonts w:ascii="Times New Roman" w:hAnsi="Times New Roman"/>
          <w:sz w:val="24"/>
          <w:szCs w:val="24"/>
          <w:lang w:val="en-US"/>
        </w:rPr>
        <w:t>Prakunhungsit</w:t>
      </w:r>
      <w:proofErr w:type="spellEnd"/>
      <w:r w:rsidRPr="00D56B95">
        <w:rPr>
          <w:rFonts w:ascii="Times New Roman" w:hAnsi="Times New Roman"/>
          <w:sz w:val="24"/>
          <w:szCs w:val="24"/>
          <w:lang w:val="en-US"/>
        </w:rPr>
        <w:t xml:space="preserve"> S, </w:t>
      </w:r>
      <w:proofErr w:type="spellStart"/>
      <w:r w:rsidRPr="00D56B95">
        <w:rPr>
          <w:rFonts w:ascii="Times New Roman" w:hAnsi="Times New Roman"/>
          <w:sz w:val="24"/>
          <w:szCs w:val="24"/>
          <w:lang w:val="en-US"/>
        </w:rPr>
        <w:t>Narkwong</w:t>
      </w:r>
      <w:proofErr w:type="spellEnd"/>
      <w:r w:rsidRPr="00D56B95">
        <w:rPr>
          <w:rFonts w:ascii="Times New Roman" w:hAnsi="Times New Roman"/>
          <w:sz w:val="24"/>
          <w:szCs w:val="24"/>
          <w:lang w:val="en-US"/>
        </w:rPr>
        <w:t xml:space="preserve"> L, </w:t>
      </w:r>
      <w:proofErr w:type="spellStart"/>
      <w:r w:rsidRPr="00D56B95">
        <w:rPr>
          <w:rFonts w:ascii="Times New Roman" w:hAnsi="Times New Roman"/>
          <w:sz w:val="24"/>
          <w:szCs w:val="24"/>
          <w:lang w:val="en-US"/>
        </w:rPr>
        <w:t>Leopairut</w:t>
      </w:r>
      <w:proofErr w:type="spellEnd"/>
      <w:r w:rsidRPr="00D56B95">
        <w:rPr>
          <w:rFonts w:ascii="Times New Roman" w:hAnsi="Times New Roman"/>
          <w:sz w:val="24"/>
          <w:szCs w:val="24"/>
          <w:lang w:val="en-US"/>
        </w:rPr>
        <w:t xml:space="preserve"> J. Expression of hormonal receptor in patients with metastasizing pleomorphic adenoma of the major salivary gland; a </w:t>
      </w:r>
      <w:proofErr w:type="spellStart"/>
      <w:r w:rsidRPr="00D56B95">
        <w:rPr>
          <w:rFonts w:ascii="Times New Roman" w:hAnsi="Times New Roman"/>
          <w:sz w:val="24"/>
          <w:szCs w:val="24"/>
          <w:lang w:val="en-US"/>
        </w:rPr>
        <w:t>clinicopathological</w:t>
      </w:r>
      <w:proofErr w:type="spellEnd"/>
      <w:r w:rsidRPr="00D56B95">
        <w:rPr>
          <w:rFonts w:ascii="Times New Roman" w:hAnsi="Times New Roman"/>
          <w:sz w:val="24"/>
          <w:szCs w:val="24"/>
          <w:lang w:val="en-US"/>
        </w:rPr>
        <w:t xml:space="preserve"> report of three cases. </w:t>
      </w:r>
      <w:r w:rsidRPr="00D56B95">
        <w:rPr>
          <w:rFonts w:ascii="Times New Roman" w:hAnsi="Times New Roman"/>
          <w:i/>
          <w:iCs/>
          <w:sz w:val="24"/>
          <w:szCs w:val="24"/>
        </w:rPr>
        <w:t xml:space="preserve">J Med Assoc </w:t>
      </w:r>
      <w:proofErr w:type="spellStart"/>
      <w:r w:rsidRPr="00D56B95">
        <w:rPr>
          <w:rFonts w:ascii="Times New Roman" w:hAnsi="Times New Roman"/>
          <w:i/>
          <w:iCs/>
          <w:sz w:val="24"/>
          <w:szCs w:val="24"/>
        </w:rPr>
        <w:t>Thai</w:t>
      </w:r>
      <w:proofErr w:type="spellEnd"/>
      <w:r w:rsidRPr="00D56B95">
        <w:rPr>
          <w:rFonts w:ascii="Times New Roman" w:hAnsi="Times New Roman"/>
          <w:sz w:val="24"/>
          <w:szCs w:val="24"/>
        </w:rPr>
        <w:t xml:space="preserve">. </w:t>
      </w:r>
      <w:proofErr w:type="gramStart"/>
      <w:r w:rsidRPr="00D56B95">
        <w:rPr>
          <w:rFonts w:ascii="Times New Roman" w:hAnsi="Times New Roman"/>
          <w:sz w:val="24"/>
          <w:szCs w:val="24"/>
        </w:rPr>
        <w:t>2011;</w:t>
      </w:r>
      <w:proofErr w:type="gramEnd"/>
      <w:r w:rsidRPr="00D56B95">
        <w:rPr>
          <w:rFonts w:ascii="Times New Roman" w:hAnsi="Times New Roman"/>
          <w:sz w:val="24"/>
          <w:szCs w:val="24"/>
        </w:rPr>
        <w:t>92(9):1250.</w:t>
      </w:r>
    </w:p>
    <w:p w:rsidR="00D56B95" w:rsidRPr="00D56B95" w:rsidRDefault="00D56B95" w:rsidP="002C0368">
      <w:pPr>
        <w:pStyle w:val="Paragraphedeliste"/>
        <w:numPr>
          <w:ilvl w:val="0"/>
          <w:numId w:val="2"/>
        </w:numPr>
        <w:tabs>
          <w:tab w:val="clear" w:pos="720"/>
          <w:tab w:val="num" w:pos="567"/>
        </w:tabs>
        <w:spacing w:line="240" w:lineRule="auto"/>
        <w:ind w:left="567" w:hanging="425"/>
        <w:jc w:val="both"/>
        <w:rPr>
          <w:rFonts w:ascii="Times New Roman" w:hAnsi="Times New Roman"/>
          <w:sz w:val="24"/>
          <w:szCs w:val="24"/>
        </w:rPr>
      </w:pPr>
      <w:r w:rsidRPr="00D56B95">
        <w:rPr>
          <w:rFonts w:ascii="Times New Roman" w:hAnsi="Times New Roman"/>
          <w:sz w:val="24"/>
          <w:szCs w:val="24"/>
          <w:lang w:val="en-US"/>
        </w:rPr>
        <w:t xml:space="preserve">Malard O, Wagner R, </w:t>
      </w:r>
      <w:proofErr w:type="spellStart"/>
      <w:r w:rsidRPr="00D56B95">
        <w:rPr>
          <w:rFonts w:ascii="Times New Roman" w:hAnsi="Times New Roman"/>
          <w:sz w:val="24"/>
          <w:szCs w:val="24"/>
          <w:lang w:val="en-US"/>
        </w:rPr>
        <w:t>Joubert</w:t>
      </w:r>
      <w:proofErr w:type="spellEnd"/>
      <w:r w:rsidRPr="00D56B95">
        <w:rPr>
          <w:rFonts w:ascii="Times New Roman" w:hAnsi="Times New Roman"/>
          <w:sz w:val="24"/>
          <w:szCs w:val="24"/>
          <w:lang w:val="en-US"/>
        </w:rPr>
        <w:t xml:space="preserve"> M, </w:t>
      </w:r>
      <w:proofErr w:type="spellStart"/>
      <w:r w:rsidRPr="00D56B95">
        <w:rPr>
          <w:rFonts w:ascii="Times New Roman" w:hAnsi="Times New Roman"/>
          <w:sz w:val="24"/>
          <w:szCs w:val="24"/>
          <w:lang w:val="en-US"/>
        </w:rPr>
        <w:t>Delemazure</w:t>
      </w:r>
      <w:proofErr w:type="spellEnd"/>
      <w:r w:rsidRPr="00D56B95">
        <w:rPr>
          <w:rFonts w:ascii="Times New Roman" w:hAnsi="Times New Roman"/>
          <w:sz w:val="24"/>
          <w:szCs w:val="24"/>
          <w:lang w:val="en-US"/>
        </w:rPr>
        <w:t xml:space="preserve"> AS, Rio E, Durand N, et al. Prognostic factors for secondary recurrence of pleomorphic adenoma: a 20-year, retrospective study. </w:t>
      </w:r>
      <w:r w:rsidRPr="00D56B95">
        <w:rPr>
          <w:rFonts w:ascii="Times New Roman" w:hAnsi="Times New Roman"/>
          <w:i/>
          <w:iCs/>
          <w:sz w:val="24"/>
          <w:szCs w:val="24"/>
        </w:rPr>
        <w:t xml:space="preserve">J </w:t>
      </w:r>
      <w:proofErr w:type="spellStart"/>
      <w:r w:rsidRPr="00D56B95">
        <w:rPr>
          <w:rFonts w:ascii="Times New Roman" w:hAnsi="Times New Roman"/>
          <w:i/>
          <w:iCs/>
          <w:sz w:val="24"/>
          <w:szCs w:val="24"/>
        </w:rPr>
        <w:t>LaryngolOtol</w:t>
      </w:r>
      <w:proofErr w:type="spellEnd"/>
      <w:r w:rsidRPr="00D56B95">
        <w:rPr>
          <w:rFonts w:ascii="Times New Roman" w:hAnsi="Times New Roman"/>
          <w:sz w:val="24"/>
          <w:szCs w:val="24"/>
        </w:rPr>
        <w:t xml:space="preserve">. </w:t>
      </w:r>
      <w:proofErr w:type="gramStart"/>
      <w:r w:rsidRPr="00D56B95">
        <w:rPr>
          <w:rFonts w:ascii="Times New Roman" w:hAnsi="Times New Roman"/>
          <w:sz w:val="24"/>
          <w:szCs w:val="24"/>
        </w:rPr>
        <w:t>2013;</w:t>
      </w:r>
      <w:proofErr w:type="gramEnd"/>
      <w:r w:rsidRPr="00D56B95">
        <w:rPr>
          <w:rFonts w:ascii="Times New Roman" w:hAnsi="Times New Roman"/>
          <w:sz w:val="24"/>
          <w:szCs w:val="24"/>
        </w:rPr>
        <w:t>127(9):902-7.</w:t>
      </w:r>
    </w:p>
    <w:p w:rsidR="00A502C4" w:rsidRDefault="00A502C4" w:rsidP="002C0368">
      <w:pPr>
        <w:pStyle w:val="Paragraphedeliste"/>
        <w:spacing w:line="240" w:lineRule="auto"/>
        <w:jc w:val="both"/>
        <w:rPr>
          <w:rFonts w:ascii="Times New Roman" w:hAnsi="Times New Roman" w:cs="Times New Roman"/>
          <w:sz w:val="24"/>
        </w:rPr>
      </w:pPr>
    </w:p>
    <w:p w:rsidR="00A502C4" w:rsidRDefault="00A502C4" w:rsidP="002C0368">
      <w:pPr>
        <w:pStyle w:val="Paragraphedeliste"/>
        <w:spacing w:line="240" w:lineRule="auto"/>
        <w:jc w:val="both"/>
        <w:rPr>
          <w:rFonts w:ascii="Times New Roman" w:hAnsi="Times New Roman" w:cs="Times New Roman"/>
          <w:sz w:val="24"/>
        </w:rPr>
      </w:pPr>
    </w:p>
    <w:p w:rsidR="0064495E" w:rsidRDefault="0064495E" w:rsidP="002C0368">
      <w:pPr>
        <w:pStyle w:val="Paragraphedeliste"/>
        <w:spacing w:line="240" w:lineRule="auto"/>
        <w:jc w:val="both"/>
        <w:rPr>
          <w:rFonts w:ascii="Times New Roman" w:hAnsi="Times New Roman" w:cs="Times New Roman"/>
          <w:sz w:val="24"/>
        </w:rPr>
      </w:pPr>
    </w:p>
    <w:p w:rsidR="0064495E" w:rsidRDefault="0064495E" w:rsidP="002C0368">
      <w:pPr>
        <w:pStyle w:val="Paragraphedeliste"/>
        <w:spacing w:line="240" w:lineRule="auto"/>
        <w:jc w:val="both"/>
        <w:rPr>
          <w:rFonts w:ascii="Times New Roman" w:hAnsi="Times New Roman" w:cs="Times New Roman"/>
          <w:sz w:val="24"/>
        </w:rPr>
      </w:pPr>
    </w:p>
    <w:p w:rsidR="0064495E" w:rsidRDefault="0064495E" w:rsidP="002C0368">
      <w:pPr>
        <w:pStyle w:val="Paragraphedeliste"/>
        <w:spacing w:line="240" w:lineRule="auto"/>
        <w:jc w:val="both"/>
        <w:rPr>
          <w:rFonts w:ascii="Times New Roman" w:hAnsi="Times New Roman" w:cs="Times New Roman"/>
          <w:sz w:val="24"/>
        </w:rPr>
      </w:pPr>
    </w:p>
    <w:p w:rsidR="00F72620" w:rsidRPr="009E7A19" w:rsidRDefault="00F72620" w:rsidP="002C0368">
      <w:pPr>
        <w:spacing w:line="240" w:lineRule="auto"/>
        <w:jc w:val="both"/>
        <w:rPr>
          <w:rFonts w:ascii="Times New Roman" w:hAnsi="Times New Roman" w:cs="Times New Roman"/>
          <w:sz w:val="24"/>
        </w:rPr>
      </w:pPr>
    </w:p>
    <w:sectPr w:rsidR="00F72620" w:rsidRPr="009E7A19" w:rsidSect="003F2BF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CBA" w:rsidRDefault="002F5CBA" w:rsidP="00444DB7">
      <w:pPr>
        <w:spacing w:after="0" w:line="240" w:lineRule="auto"/>
      </w:pPr>
      <w:r>
        <w:separator/>
      </w:r>
    </w:p>
  </w:endnote>
  <w:endnote w:type="continuationSeparator" w:id="0">
    <w:p w:rsidR="002F5CBA" w:rsidRDefault="002F5CBA" w:rsidP="0044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68" w:rsidRDefault="002C03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68" w:rsidRPr="002C0368" w:rsidRDefault="002C0368">
    <w:pPr>
      <w:pStyle w:val="Pieddepage"/>
      <w:rPr>
        <w:rFonts w:ascii="Times New Roman" w:hAnsi="Times New Roman" w:cs="Times New Roman"/>
        <w:i/>
        <w:sz w:val="24"/>
        <w:szCs w:val="24"/>
      </w:rPr>
    </w:pPr>
    <w:r w:rsidRPr="002C0368">
      <w:rPr>
        <w:rFonts w:ascii="Times New Roman" w:hAnsi="Times New Roman" w:cs="Times New Roman"/>
        <w:i/>
        <w:sz w:val="24"/>
        <w:szCs w:val="24"/>
      </w:rPr>
      <w:t>Ranaivoson et al</w:t>
    </w:r>
  </w:p>
  <w:p w:rsidR="00320181" w:rsidRDefault="0032018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68" w:rsidRDefault="002C036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9F0" w:rsidRDefault="000F09F0">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181" w:rsidRDefault="003D52A8">
    <w:r>
      <w:cr/>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9F0" w:rsidRDefault="000F09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CBA" w:rsidRDefault="002F5CBA" w:rsidP="00444DB7">
      <w:pPr>
        <w:spacing w:after="0" w:line="240" w:lineRule="auto"/>
      </w:pPr>
      <w:r>
        <w:separator/>
      </w:r>
    </w:p>
  </w:footnote>
  <w:footnote w:type="continuationSeparator" w:id="0">
    <w:p w:rsidR="002F5CBA" w:rsidRDefault="002F5CBA" w:rsidP="00444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68" w:rsidRDefault="002C03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BF7" w:rsidRPr="00D56B95" w:rsidRDefault="00A32BF7">
    <w:pPr>
      <w:pStyle w:val="En-tte"/>
      <w:rPr>
        <w:lang w:val="en-US"/>
      </w:rPr>
    </w:pPr>
    <w:r w:rsidRPr="00A32BF7">
      <w:rPr>
        <w:i/>
      </w:rPr>
      <w:ptab w:relativeTo="margin" w:alignment="center" w:leader="none"/>
    </w:r>
    <w:r w:rsidRPr="00D56B95">
      <w:rPr>
        <w:i/>
        <w:lang w:val="en-US"/>
      </w:rPr>
      <w:t>Head and Neck Journal of Madagascar</w:t>
    </w:r>
    <w:r w:rsidR="0022782C" w:rsidRPr="00D56B95">
      <w:rPr>
        <w:lang w:val="en-US"/>
      </w:rPr>
      <w:t xml:space="preserve">. </w:t>
    </w:r>
    <w:proofErr w:type="gramStart"/>
    <w:r w:rsidR="002C0368">
      <w:rPr>
        <w:lang w:val="en-US"/>
      </w:rPr>
      <w:t>2025;7:652</w:t>
    </w:r>
    <w:proofErr w:type="gramEnd"/>
    <w:r w:rsidR="002C0368">
      <w:rPr>
        <w:lang w:val="en-US"/>
      </w:rPr>
      <w:t xml:space="preserve">-7.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68" w:rsidRDefault="002C036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9F0" w:rsidRDefault="000F09F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9F0" w:rsidRPr="00D56B95" w:rsidRDefault="000F09F0">
    <w:pPr>
      <w:pStyle w:val="En-tte"/>
      <w:rPr>
        <w:lang w:val="en-US"/>
      </w:rPr>
    </w:pPr>
    <w:r w:rsidRPr="00A32BF7">
      <w:rPr>
        <w:i/>
      </w:rPr>
      <w:ptab w:relativeTo="margin" w:alignment="center" w:leader="none"/>
    </w:r>
    <w:r w:rsidRPr="00D56B95">
      <w:rPr>
        <w:i/>
        <w:lang w:val="en-US"/>
      </w:rPr>
      <w:t>Head and Neck Journal of Madagascar</w:t>
    </w:r>
    <w:r w:rsidRPr="00D56B95">
      <w:rPr>
        <w:lang w:val="en-US"/>
      </w:rPr>
      <w:t xml:space="preserve">. </w:t>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9F0" w:rsidRDefault="000F09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114F"/>
    <w:multiLevelType w:val="hybridMultilevel"/>
    <w:tmpl w:val="55284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1BE4B40"/>
    <w:multiLevelType w:val="multilevel"/>
    <w:tmpl w:val="9630342C"/>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3EAF"/>
    <w:rsid w:val="00062885"/>
    <w:rsid w:val="000B23D8"/>
    <w:rsid w:val="000C1399"/>
    <w:rsid w:val="000E3EAF"/>
    <w:rsid w:val="000F09F0"/>
    <w:rsid w:val="00145E02"/>
    <w:rsid w:val="00160A89"/>
    <w:rsid w:val="00163068"/>
    <w:rsid w:val="001A70EE"/>
    <w:rsid w:val="001F5073"/>
    <w:rsid w:val="00223971"/>
    <w:rsid w:val="002259A0"/>
    <w:rsid w:val="0022782C"/>
    <w:rsid w:val="0028270B"/>
    <w:rsid w:val="00287BB1"/>
    <w:rsid w:val="002C0368"/>
    <w:rsid w:val="002F5CBA"/>
    <w:rsid w:val="00304AA1"/>
    <w:rsid w:val="00316FD4"/>
    <w:rsid w:val="00320181"/>
    <w:rsid w:val="00384A8C"/>
    <w:rsid w:val="00391B23"/>
    <w:rsid w:val="003B28D3"/>
    <w:rsid w:val="003D1427"/>
    <w:rsid w:val="003D52A8"/>
    <w:rsid w:val="003F2BF8"/>
    <w:rsid w:val="00434AD1"/>
    <w:rsid w:val="00444DB7"/>
    <w:rsid w:val="005176DE"/>
    <w:rsid w:val="00540B67"/>
    <w:rsid w:val="005423D5"/>
    <w:rsid w:val="005568C6"/>
    <w:rsid w:val="0056530C"/>
    <w:rsid w:val="005B5F0D"/>
    <w:rsid w:val="0062671A"/>
    <w:rsid w:val="00642053"/>
    <w:rsid w:val="00642331"/>
    <w:rsid w:val="0064495E"/>
    <w:rsid w:val="00652270"/>
    <w:rsid w:val="006540F2"/>
    <w:rsid w:val="00685DE2"/>
    <w:rsid w:val="006A563F"/>
    <w:rsid w:val="006C73A9"/>
    <w:rsid w:val="006F1D3F"/>
    <w:rsid w:val="007029AE"/>
    <w:rsid w:val="00705717"/>
    <w:rsid w:val="007108E8"/>
    <w:rsid w:val="007918E2"/>
    <w:rsid w:val="007A4934"/>
    <w:rsid w:val="007B2A28"/>
    <w:rsid w:val="0080583D"/>
    <w:rsid w:val="00835A7C"/>
    <w:rsid w:val="00902E15"/>
    <w:rsid w:val="00966746"/>
    <w:rsid w:val="009A5330"/>
    <w:rsid w:val="009D037A"/>
    <w:rsid w:val="009E6301"/>
    <w:rsid w:val="009E7A19"/>
    <w:rsid w:val="00A03F59"/>
    <w:rsid w:val="00A24E93"/>
    <w:rsid w:val="00A32BF7"/>
    <w:rsid w:val="00A446FD"/>
    <w:rsid w:val="00A502C4"/>
    <w:rsid w:val="00A6284B"/>
    <w:rsid w:val="00A65F1F"/>
    <w:rsid w:val="00AA4212"/>
    <w:rsid w:val="00AB2C44"/>
    <w:rsid w:val="00AC6FA6"/>
    <w:rsid w:val="00AD099F"/>
    <w:rsid w:val="00B07A8E"/>
    <w:rsid w:val="00B163C8"/>
    <w:rsid w:val="00B23BC7"/>
    <w:rsid w:val="00C037C9"/>
    <w:rsid w:val="00C316A0"/>
    <w:rsid w:val="00CB5C9E"/>
    <w:rsid w:val="00D55C91"/>
    <w:rsid w:val="00D56B95"/>
    <w:rsid w:val="00D57110"/>
    <w:rsid w:val="00D57555"/>
    <w:rsid w:val="00DA63BB"/>
    <w:rsid w:val="00DC4D1D"/>
    <w:rsid w:val="00DD3C3A"/>
    <w:rsid w:val="00DF03DD"/>
    <w:rsid w:val="00DF066A"/>
    <w:rsid w:val="00DF4A01"/>
    <w:rsid w:val="00E12C42"/>
    <w:rsid w:val="00E30515"/>
    <w:rsid w:val="00E36B35"/>
    <w:rsid w:val="00E460C6"/>
    <w:rsid w:val="00ED7F4C"/>
    <w:rsid w:val="00EE12B0"/>
    <w:rsid w:val="00EF5845"/>
    <w:rsid w:val="00F51224"/>
    <w:rsid w:val="00F72620"/>
    <w:rsid w:val="00F9793A"/>
    <w:rsid w:val="00FA7286"/>
    <w:rsid w:val="00FC095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35"/>
        <o:r id="V:Rule2" type="connector" idref="#_x0000_s1039"/>
        <o:r id="V:Rule3" type="connector" idref="#_x0000_s1041"/>
        <o:r id="V:Rule4" type="connector" idref="#_x0000_s1037"/>
        <o:r id="V:Rule5" type="connector" idref="#_x0000_s1040"/>
        <o:r id="V:Rule6" type="connector" idref="#_x0000_s1042"/>
      </o:rules>
    </o:shapelayout>
  </w:shapeDefaults>
  <w:decimalSymbol w:val=","/>
  <w:listSeparator w:val=";"/>
  <w15:docId w15:val="{ECA08372-B03F-4C14-8843-CC0F1333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8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60C6"/>
    <w:rPr>
      <w:color w:val="0000FF" w:themeColor="hyperlink"/>
      <w:u w:val="single"/>
    </w:rPr>
  </w:style>
  <w:style w:type="paragraph" w:styleId="En-tte">
    <w:name w:val="header"/>
    <w:basedOn w:val="Normal"/>
    <w:link w:val="En-tteCar"/>
    <w:uiPriority w:val="99"/>
    <w:unhideWhenUsed/>
    <w:rsid w:val="00444DB7"/>
    <w:pPr>
      <w:tabs>
        <w:tab w:val="center" w:pos="4536"/>
        <w:tab w:val="right" w:pos="9072"/>
      </w:tabs>
      <w:spacing w:after="0" w:line="240" w:lineRule="auto"/>
    </w:pPr>
  </w:style>
  <w:style w:type="character" w:customStyle="1" w:styleId="En-tteCar">
    <w:name w:val="En-tête Car"/>
    <w:basedOn w:val="Policepardfaut"/>
    <w:link w:val="En-tte"/>
    <w:uiPriority w:val="99"/>
    <w:rsid w:val="00444DB7"/>
  </w:style>
  <w:style w:type="paragraph" w:styleId="Pieddepage">
    <w:name w:val="footer"/>
    <w:basedOn w:val="Normal"/>
    <w:link w:val="PieddepageCar"/>
    <w:uiPriority w:val="99"/>
    <w:unhideWhenUsed/>
    <w:rsid w:val="00444D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4DB7"/>
  </w:style>
  <w:style w:type="paragraph" w:styleId="Paragraphedeliste">
    <w:name w:val="List Paragraph"/>
    <w:basedOn w:val="Normal"/>
    <w:uiPriority w:val="34"/>
    <w:qFormat/>
    <w:rsid w:val="00902E15"/>
    <w:pPr>
      <w:ind w:left="720"/>
      <w:contextualSpacing/>
    </w:pPr>
  </w:style>
  <w:style w:type="paragraph" w:styleId="Textedebulles">
    <w:name w:val="Balloon Text"/>
    <w:basedOn w:val="Normal"/>
    <w:link w:val="TextedebullesCar"/>
    <w:uiPriority w:val="99"/>
    <w:semiHidden/>
    <w:unhideWhenUsed/>
    <w:rsid w:val="00F726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2620"/>
    <w:rPr>
      <w:rFonts w:ascii="Tahoma" w:hAnsi="Tahoma" w:cs="Tahoma"/>
      <w:sz w:val="16"/>
      <w:szCs w:val="16"/>
    </w:rPr>
  </w:style>
  <w:style w:type="paragraph" w:styleId="Bibliographie">
    <w:name w:val="Bibliography"/>
    <w:basedOn w:val="Normal"/>
    <w:next w:val="Normal"/>
    <w:uiPriority w:val="37"/>
    <w:unhideWhenUsed/>
    <w:rsid w:val="007108E8"/>
    <w:pPr>
      <w:spacing w:after="160" w:line="256" w:lineRule="auto"/>
    </w:pPr>
  </w:style>
  <w:style w:type="paragraph" w:styleId="NormalWeb">
    <w:name w:val="Normal (Web)"/>
    <w:basedOn w:val="Normal"/>
    <w:uiPriority w:val="99"/>
    <w:semiHidden/>
    <w:unhideWhenUsed/>
    <w:rsid w:val="00B23BC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uiPriority w:val="22"/>
    <w:qFormat/>
    <w:rsid w:val="00D56B95"/>
    <w:rPr>
      <w:b/>
      <w:bCs/>
    </w:rPr>
  </w:style>
  <w:style w:type="paragraph" w:styleId="Titre">
    <w:name w:val="Title"/>
    <w:basedOn w:val="Normal"/>
    <w:next w:val="Normal"/>
    <w:link w:val="TitreCar"/>
    <w:uiPriority w:val="10"/>
    <w:qFormat/>
    <w:rsid w:val="00DA63BB"/>
    <w:pPr>
      <w:spacing w:before="240" w:after="240" w:line="360" w:lineRule="auto"/>
      <w:ind w:firstLine="709"/>
      <w:jc w:val="center"/>
    </w:pPr>
    <w:rPr>
      <w:rFonts w:ascii="Times New Roman" w:eastAsia="Calibri" w:hAnsi="Times New Roman" w:cs="Times New Roman"/>
      <w:b/>
      <w:sz w:val="24"/>
      <w:szCs w:val="24"/>
    </w:rPr>
  </w:style>
  <w:style w:type="character" w:customStyle="1" w:styleId="TitreCar">
    <w:name w:val="Titre Car"/>
    <w:basedOn w:val="Policepardfaut"/>
    <w:link w:val="Titre"/>
    <w:uiPriority w:val="10"/>
    <w:rsid w:val="00DA63BB"/>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35686">
      <w:bodyDiv w:val="1"/>
      <w:marLeft w:val="0"/>
      <w:marRight w:val="0"/>
      <w:marTop w:val="0"/>
      <w:marBottom w:val="0"/>
      <w:divBdr>
        <w:top w:val="none" w:sz="0" w:space="0" w:color="auto"/>
        <w:left w:val="none" w:sz="0" w:space="0" w:color="auto"/>
        <w:bottom w:val="none" w:sz="0" w:space="0" w:color="auto"/>
        <w:right w:val="none" w:sz="0" w:space="0" w:color="auto"/>
      </w:divBdr>
    </w:div>
    <w:div w:id="16125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1744</Words>
  <Characters>9594</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MOUANGUE</dc:creator>
  <cp:keywords/>
  <dc:description/>
  <cp:lastModifiedBy>RANTOU</cp:lastModifiedBy>
  <cp:revision>11</cp:revision>
  <dcterms:created xsi:type="dcterms:W3CDTF">2026-01-28T09:20:00Z</dcterms:created>
  <dcterms:modified xsi:type="dcterms:W3CDTF">2026-01-31T08:17:00Z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929543706</vt:i4>
  </property>
</Properties>
</file>